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BB79" w14:textId="77777777" w:rsidR="00D55214" w:rsidRPr="00BA4BD0" w:rsidRDefault="00000000">
      <w:pPr>
        <w:spacing w:after="36"/>
        <w:jc w:val="center"/>
        <w:rPr>
          <w:color w:val="000000" w:themeColor="text1"/>
          <w:sz w:val="48"/>
          <w:szCs w:val="48"/>
        </w:rPr>
      </w:pPr>
      <w:r w:rsidRPr="00BA4BD0">
        <w:rPr>
          <w:color w:val="000000" w:themeColor="text1"/>
          <w:sz w:val="48"/>
          <w:szCs w:val="48"/>
        </w:rPr>
        <w:t>RACHAEL ZHAO</w:t>
      </w:r>
    </w:p>
    <w:p w14:paraId="0A27BB7A" w14:textId="72721228" w:rsidR="00D55214" w:rsidRPr="0067317B" w:rsidRDefault="00734249" w:rsidP="00734249">
      <w:pPr>
        <w:spacing w:after="36"/>
        <w:jc w:val="center"/>
        <w:rPr>
          <w:b/>
          <w:bCs/>
          <w:color w:val="000000" w:themeColor="text1"/>
          <w:sz w:val="22"/>
          <w:szCs w:val="22"/>
        </w:rPr>
      </w:pPr>
      <w:r w:rsidRPr="0067317B">
        <w:rPr>
          <w:b/>
          <w:bCs/>
          <w:color w:val="000000" w:themeColor="text1"/>
          <w:sz w:val="22"/>
          <w:szCs w:val="22"/>
        </w:rPr>
        <w:t xml:space="preserve"> NPI Program Manager · GPU &amp; Datacenter Systems · HW/SW/FW Co-Development</w:t>
      </w:r>
    </w:p>
    <w:p w14:paraId="0A27BB7B" w14:textId="050783A4" w:rsidR="00D55214" w:rsidRPr="0067317B" w:rsidRDefault="00734249">
      <w:pPr>
        <w:spacing w:after="50"/>
        <w:jc w:val="center"/>
        <w:rPr>
          <w:color w:val="000000" w:themeColor="text1"/>
          <w:sz w:val="21"/>
          <w:szCs w:val="21"/>
        </w:rPr>
      </w:pPr>
      <w:r w:rsidRPr="0067317B">
        <w:rPr>
          <w:color w:val="000000" w:themeColor="text1"/>
          <w:sz w:val="18"/>
          <w:szCs w:val="18"/>
        </w:rPr>
        <w:t xml:space="preserve">Campbell, </w:t>
      </w:r>
      <w:r w:rsidR="00BA4BD0" w:rsidRPr="0067317B">
        <w:rPr>
          <w:color w:val="000000" w:themeColor="text1"/>
          <w:sz w:val="18"/>
          <w:szCs w:val="18"/>
        </w:rPr>
        <w:t xml:space="preserve">CA </w:t>
      </w:r>
      <w:proofErr w:type="gramStart"/>
      <w:r w:rsidR="00BA4BD0" w:rsidRPr="0067317B">
        <w:rPr>
          <w:color w:val="000000" w:themeColor="text1"/>
          <w:sz w:val="18"/>
          <w:szCs w:val="18"/>
        </w:rPr>
        <w:t>·</w:t>
      </w:r>
      <w:r w:rsidRPr="0067317B">
        <w:rPr>
          <w:color w:val="000000" w:themeColor="text1"/>
          <w:sz w:val="18"/>
          <w:szCs w:val="18"/>
        </w:rPr>
        <w:t xml:space="preserve">  408</w:t>
      </w:r>
      <w:proofErr w:type="gramEnd"/>
      <w:r w:rsidRPr="0067317B">
        <w:rPr>
          <w:color w:val="000000" w:themeColor="text1"/>
          <w:sz w:val="18"/>
          <w:szCs w:val="18"/>
        </w:rPr>
        <w:t>-228-</w:t>
      </w:r>
      <w:r w:rsidR="00BA4BD0" w:rsidRPr="0067317B">
        <w:rPr>
          <w:color w:val="000000" w:themeColor="text1"/>
          <w:sz w:val="18"/>
          <w:szCs w:val="18"/>
        </w:rPr>
        <w:t xml:space="preserve">7250 </w:t>
      </w:r>
      <w:proofErr w:type="gramStart"/>
      <w:r w:rsidR="00BA4BD0" w:rsidRPr="0067317B">
        <w:rPr>
          <w:color w:val="000000" w:themeColor="text1"/>
          <w:sz w:val="18"/>
          <w:szCs w:val="18"/>
        </w:rPr>
        <w:t>·</w:t>
      </w:r>
      <w:r w:rsidRPr="0067317B">
        <w:rPr>
          <w:color w:val="000000" w:themeColor="text1"/>
          <w:sz w:val="18"/>
          <w:szCs w:val="18"/>
        </w:rPr>
        <w:t xml:space="preserve">  rachaelzhao@hotmail.com</w:t>
      </w:r>
      <w:proofErr w:type="gramEnd"/>
      <w:r w:rsidRPr="0067317B">
        <w:rPr>
          <w:color w:val="000000" w:themeColor="text1"/>
          <w:sz w:val="18"/>
          <w:szCs w:val="18"/>
        </w:rPr>
        <w:t xml:space="preserve">  </w:t>
      </w:r>
    </w:p>
    <w:p w14:paraId="0A27BB7C" w14:textId="77777777" w:rsidR="00D55214" w:rsidRPr="0035314A" w:rsidRDefault="00D55214">
      <w:pPr>
        <w:pBdr>
          <w:bottom w:val="single" w:sz="8" w:space="1" w:color="1B4F72"/>
        </w:pBdr>
        <w:spacing w:before="50" w:after="90"/>
        <w:rPr>
          <w:sz w:val="21"/>
          <w:szCs w:val="21"/>
        </w:rPr>
      </w:pPr>
    </w:p>
    <w:p w14:paraId="0A27BB7D" w14:textId="77777777" w:rsidR="00D55214" w:rsidRPr="0067317B" w:rsidRDefault="00000000">
      <w:pPr>
        <w:spacing w:before="180" w:after="30"/>
        <w:rPr>
          <w:color w:val="000000" w:themeColor="text1"/>
          <w:sz w:val="21"/>
          <w:szCs w:val="21"/>
        </w:rPr>
      </w:pPr>
      <w:r w:rsidRPr="0067317B">
        <w:rPr>
          <w:b/>
          <w:bCs/>
          <w:color w:val="000000" w:themeColor="text1"/>
          <w:spacing w:val="80"/>
          <w:sz w:val="21"/>
          <w:szCs w:val="21"/>
        </w:rPr>
        <w:t>PROFESSIONAL SUMMARY</w:t>
      </w:r>
    </w:p>
    <w:p w14:paraId="0A27BB7E" w14:textId="77777777" w:rsidR="00D55214" w:rsidRPr="0035314A" w:rsidRDefault="00D55214">
      <w:pPr>
        <w:pBdr>
          <w:bottom w:val="single" w:sz="8" w:space="1" w:color="1B4F72"/>
        </w:pBdr>
        <w:spacing w:before="50" w:after="90"/>
        <w:rPr>
          <w:sz w:val="21"/>
          <w:szCs w:val="21"/>
        </w:rPr>
      </w:pPr>
    </w:p>
    <w:p w14:paraId="0A27BB7F" w14:textId="0795DBE8" w:rsidR="00D55214" w:rsidRPr="0035314A" w:rsidRDefault="008D59DD" w:rsidP="007749F5">
      <w:pPr>
        <w:spacing w:before="10" w:after="30"/>
        <w:rPr>
          <w:color w:val="111827"/>
        </w:rPr>
      </w:pPr>
      <w:r w:rsidRPr="0035314A">
        <w:rPr>
          <w:color w:val="111827"/>
        </w:rPr>
        <w:t>Passionate and result driven</w:t>
      </w:r>
      <w:r w:rsidR="007749F5" w:rsidRPr="0035314A">
        <w:rPr>
          <w:color w:val="111827"/>
        </w:rPr>
        <w:t xml:space="preserve"> NPI Program Manager with 10</w:t>
      </w:r>
      <w:r w:rsidR="005E5082" w:rsidRPr="0035314A">
        <w:rPr>
          <w:color w:val="111827"/>
        </w:rPr>
        <w:t>+</w:t>
      </w:r>
      <w:r w:rsidR="007749F5" w:rsidRPr="0035314A">
        <w:rPr>
          <w:color w:val="111827"/>
        </w:rPr>
        <w:t xml:space="preserve"> years</w:t>
      </w:r>
      <w:r w:rsidR="00DC7C46" w:rsidRPr="0035314A">
        <w:rPr>
          <w:color w:val="111827"/>
        </w:rPr>
        <w:t xml:space="preserve"> </w:t>
      </w:r>
      <w:r w:rsidR="007749F5" w:rsidRPr="0035314A">
        <w:rPr>
          <w:color w:val="111827"/>
        </w:rPr>
        <w:t>driving cross</w:t>
      </w:r>
      <w:r w:rsidR="00DC7C46" w:rsidRPr="0035314A">
        <w:rPr>
          <w:color w:val="111827"/>
        </w:rPr>
        <w:t xml:space="preserve"> </w:t>
      </w:r>
      <w:r w:rsidR="007749F5" w:rsidRPr="0035314A">
        <w:rPr>
          <w:color w:val="111827"/>
        </w:rPr>
        <w:t>functional SW/HW/FW co-development</w:t>
      </w:r>
      <w:r w:rsidR="00B63DFB" w:rsidRPr="0035314A">
        <w:rPr>
          <w:color w:val="111827"/>
        </w:rPr>
        <w:t xml:space="preserve">, from driver and firmware bring-up through </w:t>
      </w:r>
      <w:r w:rsidR="007749F5" w:rsidRPr="0035314A">
        <w:rPr>
          <w:color w:val="111827"/>
        </w:rPr>
        <w:t>new product introduction</w:t>
      </w:r>
      <w:r w:rsidR="00B63DFB" w:rsidRPr="0035314A">
        <w:rPr>
          <w:color w:val="111827"/>
        </w:rPr>
        <w:t xml:space="preserve"> </w:t>
      </w:r>
      <w:r w:rsidR="007749F5" w:rsidRPr="0035314A">
        <w:rPr>
          <w:color w:val="111827"/>
        </w:rPr>
        <w:t>in AI</w:t>
      </w:r>
      <w:r w:rsidR="00B63DFB" w:rsidRPr="0035314A">
        <w:rPr>
          <w:color w:val="111827"/>
        </w:rPr>
        <w:t xml:space="preserve"> and HPC </w:t>
      </w:r>
      <w:r w:rsidR="007749F5" w:rsidRPr="0035314A">
        <w:rPr>
          <w:color w:val="111827"/>
        </w:rPr>
        <w:t xml:space="preserve">infrastructure. </w:t>
      </w:r>
      <w:r w:rsidR="00420FD4" w:rsidRPr="0035314A">
        <w:rPr>
          <w:color w:val="111827"/>
        </w:rPr>
        <w:t>Managed</w:t>
      </w:r>
      <w:r w:rsidR="007749F5" w:rsidRPr="0035314A">
        <w:rPr>
          <w:color w:val="111827"/>
        </w:rPr>
        <w:t xml:space="preserve"> end</w:t>
      </w:r>
      <w:r w:rsidR="00E52256" w:rsidRPr="0035314A">
        <w:rPr>
          <w:color w:val="111827"/>
        </w:rPr>
        <w:t xml:space="preserve"> </w:t>
      </w:r>
      <w:r w:rsidR="007749F5" w:rsidRPr="0035314A">
        <w:rPr>
          <w:color w:val="111827"/>
        </w:rPr>
        <w:t>to</w:t>
      </w:r>
      <w:r w:rsidR="00E52256" w:rsidRPr="0035314A">
        <w:rPr>
          <w:color w:val="111827"/>
        </w:rPr>
        <w:t xml:space="preserve"> </w:t>
      </w:r>
      <w:r w:rsidR="007749F5" w:rsidRPr="0035314A">
        <w:rPr>
          <w:color w:val="111827"/>
        </w:rPr>
        <w:t>end SDLC for system software releases</w:t>
      </w:r>
      <w:r w:rsidR="00B63DFB" w:rsidRPr="0035314A">
        <w:rPr>
          <w:color w:val="111827"/>
        </w:rPr>
        <w:t xml:space="preserve">, </w:t>
      </w:r>
      <w:r w:rsidR="007749F5" w:rsidRPr="0035314A">
        <w:rPr>
          <w:color w:val="111827"/>
        </w:rPr>
        <w:t xml:space="preserve">production qualification and </w:t>
      </w:r>
      <w:r w:rsidR="000B11D1" w:rsidRPr="0035314A">
        <w:rPr>
          <w:color w:val="111827"/>
        </w:rPr>
        <w:t>go to market</w:t>
      </w:r>
      <w:r w:rsidR="007749F5" w:rsidRPr="0035314A">
        <w:rPr>
          <w:color w:val="111827"/>
        </w:rPr>
        <w:t xml:space="preserve"> execution. </w:t>
      </w:r>
      <w:r w:rsidR="007F4812" w:rsidRPr="0035314A">
        <w:rPr>
          <w:color w:val="111827"/>
        </w:rPr>
        <w:t xml:space="preserve">Experienced DRI managing hardware allocation, milestone reviews, risk escalation, and software readiness across cross-functional teams. </w:t>
      </w:r>
      <w:r w:rsidR="007749F5" w:rsidRPr="0035314A">
        <w:rPr>
          <w:color w:val="111827"/>
        </w:rPr>
        <w:t xml:space="preserve">Combines </w:t>
      </w:r>
      <w:r w:rsidR="009F667F" w:rsidRPr="0035314A">
        <w:rPr>
          <w:color w:val="111827"/>
        </w:rPr>
        <w:t xml:space="preserve">strong </w:t>
      </w:r>
      <w:r w:rsidR="00574F52" w:rsidRPr="0035314A">
        <w:rPr>
          <w:color w:val="111827"/>
        </w:rPr>
        <w:t>foundation in</w:t>
      </w:r>
      <w:r w:rsidR="007749F5" w:rsidRPr="0035314A">
        <w:rPr>
          <w:color w:val="111827"/>
        </w:rPr>
        <w:t xml:space="preserve"> software development lifecycle principles with hands-on coordination of chip integration, diagnostics, platform bring-up, and production readiness in fast</w:t>
      </w:r>
      <w:r w:rsidR="00574F52" w:rsidRPr="0035314A">
        <w:rPr>
          <w:color w:val="111827"/>
        </w:rPr>
        <w:t>-</w:t>
      </w:r>
      <w:r w:rsidR="007749F5" w:rsidRPr="0035314A">
        <w:rPr>
          <w:color w:val="111827"/>
        </w:rPr>
        <w:t>paced, ambiguous environments.</w:t>
      </w:r>
      <w:r w:rsidR="000B11D1" w:rsidRPr="0035314A">
        <w:rPr>
          <w:color w:val="111827"/>
        </w:rPr>
        <w:t xml:space="preserve"> </w:t>
      </w:r>
    </w:p>
    <w:p w14:paraId="0A27BB80" w14:textId="77777777" w:rsidR="00D55214" w:rsidRPr="00BA4BD0" w:rsidRDefault="00000000">
      <w:pPr>
        <w:spacing w:before="180" w:after="30"/>
        <w:rPr>
          <w:b/>
          <w:bCs/>
          <w:sz w:val="21"/>
          <w:szCs w:val="21"/>
        </w:rPr>
      </w:pPr>
      <w:r w:rsidRPr="00BA4BD0">
        <w:rPr>
          <w:b/>
          <w:bCs/>
          <w:color w:val="000000" w:themeColor="text1"/>
          <w:spacing w:val="80"/>
          <w:sz w:val="21"/>
          <w:szCs w:val="21"/>
        </w:rPr>
        <w:t>PROFESSIONAL EXPERIENCE</w:t>
      </w:r>
    </w:p>
    <w:p w14:paraId="0A27BB81" w14:textId="77777777" w:rsidR="00D55214" w:rsidRPr="0035314A" w:rsidRDefault="00D55214">
      <w:pPr>
        <w:pBdr>
          <w:bottom w:val="single" w:sz="8" w:space="1" w:color="1B4F72"/>
        </w:pBdr>
        <w:spacing w:before="50" w:after="90"/>
        <w:rPr>
          <w:sz w:val="21"/>
          <w:szCs w:val="21"/>
        </w:rPr>
      </w:pPr>
    </w:p>
    <w:p w14:paraId="0A27BB82" w14:textId="77777777" w:rsidR="00D55214" w:rsidRPr="0035314A" w:rsidRDefault="00000000">
      <w:pPr>
        <w:tabs>
          <w:tab w:val="right" w:pos="9360"/>
        </w:tabs>
        <w:spacing w:before="160" w:after="28"/>
        <w:rPr>
          <w:b/>
          <w:bCs/>
          <w:sz w:val="21"/>
          <w:szCs w:val="21"/>
        </w:rPr>
      </w:pPr>
      <w:r w:rsidRPr="0035314A">
        <w:rPr>
          <w:b/>
          <w:bCs/>
          <w:color w:val="111827"/>
          <w:sz w:val="22"/>
          <w:szCs w:val="22"/>
        </w:rPr>
        <w:t>Senior Program Manager — AI Infrastructure &amp; GPU Systems</w:t>
      </w:r>
      <w:r w:rsidRPr="0035314A">
        <w:rPr>
          <w:i/>
          <w:iCs/>
          <w:color w:val="9CA3AF"/>
        </w:rPr>
        <w:tab/>
      </w:r>
      <w:r w:rsidRPr="0067317B">
        <w:rPr>
          <w:color w:val="000000" w:themeColor="text1"/>
        </w:rPr>
        <w:t>Jun 2025 – Present</w:t>
      </w:r>
    </w:p>
    <w:p w14:paraId="14AD8953" w14:textId="6AF99D12" w:rsidR="00063343" w:rsidRPr="00BA4BD0" w:rsidRDefault="00BA4BD0" w:rsidP="00063343">
      <w:pPr>
        <w:spacing w:after="30"/>
        <w:rPr>
          <w:color w:val="000000" w:themeColor="text1"/>
          <w:sz w:val="21"/>
          <w:szCs w:val="21"/>
        </w:rPr>
      </w:pPr>
      <w:r w:rsidRPr="00BA4BD0">
        <w:rPr>
          <w:b/>
          <w:bCs/>
          <w:color w:val="000000" w:themeColor="text1"/>
        </w:rPr>
        <w:t>Supermicro</w:t>
      </w:r>
      <w:r w:rsidRPr="00BA4BD0">
        <w:rPr>
          <w:color w:val="000000" w:themeColor="text1"/>
        </w:rPr>
        <w:t xml:space="preserve"> · San</w:t>
      </w:r>
      <w:r w:rsidR="00000000" w:rsidRPr="00BA4BD0">
        <w:rPr>
          <w:color w:val="000000" w:themeColor="text1"/>
        </w:rPr>
        <w:t xml:space="preserve"> Jose, CA</w:t>
      </w:r>
    </w:p>
    <w:p w14:paraId="1A7854EA" w14:textId="1B0613C1" w:rsidR="00877AD5" w:rsidRPr="0035314A" w:rsidRDefault="00B63DFB" w:rsidP="00FA1A13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>Manag</w:t>
      </w:r>
      <w:r w:rsidR="00877AD5" w:rsidRPr="0035314A">
        <w:rPr>
          <w:rFonts w:ascii="Calibri" w:hAnsi="Calibri" w:cs="Calibri"/>
          <w:color w:val="111827"/>
          <w:sz w:val="20"/>
          <w:szCs w:val="20"/>
        </w:rPr>
        <w:t xml:space="preserve">e Private Cloud/Sovereign </w:t>
      </w:r>
      <w:r w:rsidR="00C9764C" w:rsidRPr="0035314A">
        <w:rPr>
          <w:rFonts w:ascii="Calibri" w:hAnsi="Calibri" w:cs="Calibri"/>
          <w:color w:val="111827"/>
          <w:sz w:val="20"/>
          <w:szCs w:val="20"/>
        </w:rPr>
        <w:t>AI infrastructure programs</w:t>
      </w:r>
      <w:r w:rsidR="00877AD5" w:rsidRPr="0035314A">
        <w:rPr>
          <w:rFonts w:ascii="Calibri" w:hAnsi="Calibri" w:cs="Calibri"/>
          <w:color w:val="111827"/>
          <w:sz w:val="20"/>
          <w:szCs w:val="20"/>
        </w:rPr>
        <w:t>, partnering with DDN</w:t>
      </w:r>
      <w:r w:rsidR="00C9764C" w:rsidRPr="0035314A">
        <w:rPr>
          <w:rFonts w:ascii="Calibri" w:hAnsi="Calibri" w:cs="Calibri"/>
          <w:color w:val="111827"/>
          <w:sz w:val="20"/>
          <w:szCs w:val="20"/>
        </w:rPr>
        <w:t xml:space="preserve">, </w:t>
      </w:r>
      <w:r w:rsidR="00877AD5" w:rsidRPr="0035314A">
        <w:rPr>
          <w:rFonts w:ascii="Calibri" w:hAnsi="Calibri" w:cs="Calibri"/>
          <w:color w:val="111827"/>
          <w:sz w:val="20"/>
          <w:szCs w:val="20"/>
        </w:rPr>
        <w:t>VAS</w:t>
      </w:r>
      <w:r w:rsidR="00C9764C" w:rsidRPr="0035314A">
        <w:rPr>
          <w:rFonts w:ascii="Calibri" w:hAnsi="Calibri" w:cs="Calibri"/>
          <w:color w:val="111827"/>
          <w:sz w:val="20"/>
          <w:szCs w:val="20"/>
        </w:rPr>
        <w:t>T and NVIDIA on c</w:t>
      </w:r>
      <w:r w:rsidR="00877AD5" w:rsidRPr="0035314A">
        <w:rPr>
          <w:rFonts w:ascii="Calibri" w:hAnsi="Calibri" w:cs="Calibri"/>
          <w:color w:val="111827"/>
          <w:sz w:val="20"/>
          <w:szCs w:val="20"/>
        </w:rPr>
        <w:t xml:space="preserve">lusters </w:t>
      </w:r>
      <w:r w:rsidR="00C9764C" w:rsidRPr="0035314A">
        <w:rPr>
          <w:rFonts w:ascii="Calibri" w:hAnsi="Calibri" w:cs="Calibri"/>
          <w:color w:val="111827"/>
          <w:sz w:val="20"/>
          <w:szCs w:val="20"/>
        </w:rPr>
        <w:t xml:space="preserve">deployments: </w:t>
      </w:r>
      <w:r w:rsidR="00877AD5" w:rsidRPr="0035314A">
        <w:rPr>
          <w:rFonts w:ascii="Calibri" w:hAnsi="Calibri" w:cs="Calibri"/>
          <w:color w:val="111827"/>
          <w:sz w:val="20"/>
          <w:szCs w:val="20"/>
        </w:rPr>
        <w:t>B</w:t>
      </w:r>
      <w:r w:rsidR="00BA4BD0">
        <w:rPr>
          <w:rFonts w:ascii="Calibri" w:hAnsi="Calibri" w:cs="Calibri"/>
          <w:color w:val="111827"/>
          <w:sz w:val="20"/>
          <w:szCs w:val="20"/>
        </w:rPr>
        <w:t>200/</w:t>
      </w:r>
      <w:r w:rsidR="00877AD5" w:rsidRPr="0035314A">
        <w:rPr>
          <w:rFonts w:ascii="Calibri" w:hAnsi="Calibri" w:cs="Calibri"/>
          <w:color w:val="111827"/>
          <w:sz w:val="20"/>
          <w:szCs w:val="20"/>
        </w:rPr>
        <w:t>300, GB</w:t>
      </w:r>
      <w:r w:rsidR="00BA4BD0">
        <w:rPr>
          <w:rFonts w:ascii="Calibri" w:hAnsi="Calibri" w:cs="Calibri"/>
          <w:color w:val="111827"/>
          <w:sz w:val="20"/>
          <w:szCs w:val="20"/>
        </w:rPr>
        <w:t>200/</w:t>
      </w:r>
      <w:r w:rsidR="00877AD5" w:rsidRPr="0035314A">
        <w:rPr>
          <w:rFonts w:ascii="Calibri" w:hAnsi="Calibri" w:cs="Calibri"/>
          <w:color w:val="111827"/>
          <w:sz w:val="20"/>
          <w:szCs w:val="20"/>
        </w:rPr>
        <w:t xml:space="preserve">300 and </w:t>
      </w:r>
      <w:r w:rsidR="00C447A3" w:rsidRPr="0035314A">
        <w:rPr>
          <w:rFonts w:ascii="Calibri" w:hAnsi="Calibri" w:cs="Calibri"/>
          <w:color w:val="111827"/>
          <w:sz w:val="20"/>
          <w:szCs w:val="20"/>
        </w:rPr>
        <w:t>H200</w:t>
      </w:r>
      <w:r w:rsidR="00877AD5" w:rsidRPr="0035314A">
        <w:rPr>
          <w:rFonts w:ascii="Calibri" w:hAnsi="Calibri" w:cs="Calibri"/>
          <w:color w:val="111827"/>
          <w:sz w:val="20"/>
          <w:szCs w:val="20"/>
        </w:rPr>
        <w:t xml:space="preserve"> </w:t>
      </w:r>
      <w:proofErr w:type="spellStart"/>
      <w:r w:rsidR="00877AD5" w:rsidRPr="0035314A">
        <w:rPr>
          <w:rFonts w:ascii="Calibri" w:hAnsi="Calibri" w:cs="Calibri"/>
          <w:color w:val="111827"/>
          <w:sz w:val="20"/>
          <w:szCs w:val="20"/>
        </w:rPr>
        <w:t>etc</w:t>
      </w:r>
      <w:proofErr w:type="spellEnd"/>
    </w:p>
    <w:p w14:paraId="70505793" w14:textId="750A1474" w:rsidR="00B44649" w:rsidRPr="0035314A" w:rsidRDefault="00063343" w:rsidP="00FA1A13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>Drive end</w:t>
      </w:r>
      <w:r w:rsidR="00CA0119" w:rsidRPr="0035314A">
        <w:rPr>
          <w:rFonts w:ascii="Calibri" w:hAnsi="Calibri" w:cs="Calibri"/>
          <w:color w:val="111827"/>
          <w:sz w:val="20"/>
          <w:szCs w:val="20"/>
        </w:rPr>
        <w:t xml:space="preserve"> </w:t>
      </w:r>
      <w:r w:rsidRPr="0035314A">
        <w:rPr>
          <w:rFonts w:ascii="Calibri" w:hAnsi="Calibri" w:cs="Calibri"/>
          <w:color w:val="111827"/>
          <w:sz w:val="20"/>
          <w:szCs w:val="20"/>
        </w:rPr>
        <w:t>to</w:t>
      </w:r>
      <w:r w:rsidR="00CA0119" w:rsidRPr="0035314A">
        <w:rPr>
          <w:rFonts w:ascii="Calibri" w:hAnsi="Calibri" w:cs="Calibri"/>
          <w:color w:val="111827"/>
          <w:sz w:val="20"/>
          <w:szCs w:val="20"/>
        </w:rPr>
        <w:t xml:space="preserve"> 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end NPI program execution for </w:t>
      </w:r>
      <w:r w:rsidR="00C447A3" w:rsidRPr="0035314A">
        <w:rPr>
          <w:rFonts w:ascii="Calibri" w:hAnsi="Calibri" w:cs="Calibri"/>
          <w:color w:val="111827"/>
          <w:sz w:val="20"/>
          <w:szCs w:val="20"/>
        </w:rPr>
        <w:t xml:space="preserve">system integration and 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AI infrastructure deployments across </w:t>
      </w:r>
      <w:r w:rsidR="00B44649" w:rsidRPr="0035314A">
        <w:rPr>
          <w:rFonts w:ascii="Calibri" w:hAnsi="Calibri" w:cs="Calibri"/>
          <w:color w:val="111827"/>
          <w:sz w:val="20"/>
          <w:szCs w:val="20"/>
        </w:rPr>
        <w:t>multiple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 programs</w:t>
      </w:r>
    </w:p>
    <w:p w14:paraId="59D39418" w14:textId="37C2E909" w:rsidR="00FA1A13" w:rsidRPr="0035314A" w:rsidRDefault="00B44649" w:rsidP="00FA1A13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>C</w:t>
      </w:r>
      <w:r w:rsidR="00063343" w:rsidRPr="0035314A">
        <w:rPr>
          <w:rFonts w:ascii="Calibri" w:hAnsi="Calibri" w:cs="Calibri"/>
          <w:color w:val="111827"/>
          <w:sz w:val="20"/>
          <w:szCs w:val="20"/>
        </w:rPr>
        <w:t xml:space="preserve">oordinating </w:t>
      </w:r>
      <w:r w:rsidR="00C9764C" w:rsidRPr="0035314A">
        <w:rPr>
          <w:rFonts w:ascii="Calibri" w:hAnsi="Calibri" w:cs="Calibri"/>
          <w:color w:val="111827"/>
          <w:sz w:val="20"/>
          <w:szCs w:val="20"/>
        </w:rPr>
        <w:t>software, hardware, software and production</w:t>
      </w:r>
      <w:r w:rsidR="00063343" w:rsidRPr="0035314A">
        <w:rPr>
          <w:rFonts w:ascii="Calibri" w:hAnsi="Calibri" w:cs="Calibri"/>
          <w:color w:val="111827"/>
          <w:sz w:val="20"/>
          <w:szCs w:val="20"/>
        </w:rPr>
        <w:t xml:space="preserve"> teams from chip integration and platform bring-up </w:t>
      </w:r>
      <w:r w:rsidR="00C9764C" w:rsidRPr="0035314A">
        <w:rPr>
          <w:rFonts w:ascii="Calibri" w:hAnsi="Calibri" w:cs="Calibri"/>
          <w:color w:val="111827"/>
          <w:sz w:val="20"/>
          <w:szCs w:val="20"/>
        </w:rPr>
        <w:t xml:space="preserve">to L10/L11/L12 </w:t>
      </w:r>
      <w:r w:rsidR="00063343" w:rsidRPr="0035314A">
        <w:rPr>
          <w:rFonts w:ascii="Calibri" w:hAnsi="Calibri" w:cs="Calibri"/>
          <w:color w:val="111827"/>
          <w:sz w:val="20"/>
          <w:szCs w:val="20"/>
        </w:rPr>
        <w:t>customer delivery</w:t>
      </w:r>
      <w:r w:rsidR="00C9764C" w:rsidRPr="0035314A">
        <w:rPr>
          <w:rFonts w:ascii="Calibri" w:hAnsi="Calibri" w:cs="Calibri"/>
          <w:color w:val="111827"/>
          <w:sz w:val="20"/>
          <w:szCs w:val="20"/>
        </w:rPr>
        <w:t xml:space="preserve"> </w:t>
      </w:r>
    </w:p>
    <w:p w14:paraId="65AC2C22" w14:textId="1E259A6E" w:rsidR="009E5CEB" w:rsidRPr="0035314A" w:rsidRDefault="00C9764C" w:rsidP="009E5CEB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 xml:space="preserve">Serve as main point of contact across </w:t>
      </w:r>
      <w:r w:rsidR="00FA1A13" w:rsidRPr="0035314A">
        <w:rPr>
          <w:rFonts w:ascii="Calibri" w:hAnsi="Calibri" w:cs="Calibri"/>
          <w:color w:val="111827"/>
          <w:sz w:val="20"/>
          <w:szCs w:val="20"/>
        </w:rPr>
        <w:t>engineering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 and customers;</w:t>
      </w:r>
      <w:r w:rsidR="00FA1A13" w:rsidRPr="0035314A">
        <w:rPr>
          <w:rFonts w:ascii="Calibri" w:hAnsi="Calibri" w:cs="Calibri"/>
          <w:color w:val="111827"/>
          <w:sz w:val="20"/>
          <w:szCs w:val="20"/>
        </w:rPr>
        <w:t xml:space="preserve"> </w:t>
      </w:r>
      <w:r w:rsidRPr="0035314A">
        <w:rPr>
          <w:rFonts w:ascii="Calibri" w:hAnsi="Calibri" w:cs="Calibri"/>
          <w:color w:val="111827"/>
          <w:sz w:val="20"/>
          <w:szCs w:val="20"/>
        </w:rPr>
        <w:t>managed</w:t>
      </w:r>
      <w:r w:rsidR="00FA1A13" w:rsidRPr="0035314A">
        <w:rPr>
          <w:rFonts w:ascii="Calibri" w:hAnsi="Calibri" w:cs="Calibri"/>
          <w:color w:val="111827"/>
          <w:sz w:val="20"/>
          <w:szCs w:val="20"/>
        </w:rPr>
        <w:t xml:space="preserve"> system</w:t>
      </w:r>
      <w:r w:rsidR="00FF230C" w:rsidRPr="0035314A">
        <w:rPr>
          <w:rFonts w:ascii="Calibri" w:hAnsi="Calibri" w:cs="Calibri"/>
          <w:color w:val="111827"/>
          <w:sz w:val="20"/>
          <w:szCs w:val="20"/>
        </w:rPr>
        <w:t xml:space="preserve"> </w:t>
      </w:r>
      <w:r w:rsidR="00FA1A13" w:rsidRPr="0035314A">
        <w:rPr>
          <w:rFonts w:ascii="Calibri" w:hAnsi="Calibri" w:cs="Calibri"/>
          <w:color w:val="111827"/>
          <w:sz w:val="20"/>
          <w:szCs w:val="20"/>
        </w:rPr>
        <w:t>level issues, driving escalation</w:t>
      </w:r>
      <w:r w:rsidRPr="0035314A">
        <w:rPr>
          <w:rFonts w:ascii="Calibri" w:hAnsi="Calibri" w:cs="Calibri"/>
          <w:color w:val="111827"/>
          <w:sz w:val="20"/>
          <w:szCs w:val="20"/>
        </w:rPr>
        <w:t>s</w:t>
      </w:r>
      <w:r w:rsidR="00FA1A13" w:rsidRPr="0035314A">
        <w:rPr>
          <w:rFonts w:ascii="Calibri" w:hAnsi="Calibri" w:cs="Calibri"/>
          <w:color w:val="111827"/>
          <w:sz w:val="20"/>
          <w:szCs w:val="20"/>
        </w:rPr>
        <w:t xml:space="preserve">, and tracking resolution across chip integration, diagnostics, and bring-up </w:t>
      </w:r>
      <w:r w:rsidR="00E27E6C" w:rsidRPr="0035314A">
        <w:rPr>
          <w:rFonts w:ascii="Calibri" w:hAnsi="Calibri" w:cs="Calibri"/>
          <w:color w:val="111827"/>
          <w:sz w:val="20"/>
          <w:szCs w:val="20"/>
        </w:rPr>
        <w:t>phases</w:t>
      </w:r>
    </w:p>
    <w:p w14:paraId="28F3B289" w14:textId="48F943F0" w:rsidR="001423EE" w:rsidRDefault="001423EE" w:rsidP="003F1E0C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 xml:space="preserve">Improved release readiness by </w:t>
      </w:r>
      <w:r w:rsidR="00C9764C" w:rsidRPr="0035314A">
        <w:rPr>
          <w:rFonts w:ascii="Calibri" w:hAnsi="Calibri" w:cs="Calibri"/>
          <w:color w:val="111827"/>
          <w:sz w:val="20"/>
          <w:szCs w:val="20"/>
        </w:rPr>
        <w:t>leading system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 integration and </w:t>
      </w:r>
      <w:r w:rsidR="00C9764C" w:rsidRPr="0035314A">
        <w:rPr>
          <w:rFonts w:ascii="Calibri" w:hAnsi="Calibri" w:cs="Calibri"/>
          <w:color w:val="111827"/>
          <w:sz w:val="20"/>
          <w:szCs w:val="20"/>
        </w:rPr>
        <w:t xml:space="preserve">validation efforts with 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cross function teams and customers to achieve </w:t>
      </w:r>
      <w:r w:rsidR="0072462F" w:rsidRPr="0035314A">
        <w:rPr>
          <w:rFonts w:ascii="Calibri" w:hAnsi="Calibri" w:cs="Calibri"/>
          <w:color w:val="111827"/>
          <w:sz w:val="20"/>
          <w:szCs w:val="20"/>
        </w:rPr>
        <w:t>100%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 coverage and efficient validation processes</w:t>
      </w:r>
    </w:p>
    <w:p w14:paraId="2EE211EB" w14:textId="7F122349" w:rsidR="007E1F4D" w:rsidRPr="0035314A" w:rsidRDefault="007E1F4D" w:rsidP="003F1E0C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>
        <w:rPr>
          <w:rFonts w:ascii="Calibri" w:hAnsi="Calibri" w:cs="Calibri"/>
          <w:color w:val="111827"/>
          <w:sz w:val="20"/>
          <w:szCs w:val="20"/>
        </w:rPr>
        <w:t>Improved execution by reducing integration delays by 18% and increasing on-time delivery by 11% through stronger cross team coordination and planning</w:t>
      </w:r>
    </w:p>
    <w:p w14:paraId="67D1A87C" w14:textId="18DE8F77" w:rsidR="003F1E0C" w:rsidRPr="0035314A" w:rsidRDefault="0072462F" w:rsidP="003F1E0C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>Track program performance through KPIs including customer satisfaction, development success and delivery timelines</w:t>
      </w:r>
    </w:p>
    <w:p w14:paraId="056A38CD" w14:textId="2C2D44A5" w:rsidR="0072462F" w:rsidRPr="0035314A" w:rsidRDefault="0072462F" w:rsidP="003F1E0C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>Own program reporting, including milestone tracking, risk management and software readiness dashboards</w:t>
      </w:r>
    </w:p>
    <w:p w14:paraId="0A27BB89" w14:textId="5A551107" w:rsidR="00D55214" w:rsidRPr="0035314A" w:rsidRDefault="00CA0119" w:rsidP="00CA0119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>Lead cross-functional meetings with customers, partners, and internal engineering teams</w:t>
      </w:r>
      <w:r w:rsidR="0072462F" w:rsidRPr="0035314A">
        <w:rPr>
          <w:rFonts w:ascii="Calibri" w:hAnsi="Calibri" w:cs="Calibri"/>
          <w:color w:val="111827"/>
          <w:sz w:val="20"/>
          <w:szCs w:val="20"/>
        </w:rPr>
        <w:t xml:space="preserve"> to align on priorities, track progress and drive </w:t>
      </w:r>
      <w:r w:rsidRPr="0035314A">
        <w:rPr>
          <w:rFonts w:ascii="Calibri" w:hAnsi="Calibri" w:cs="Calibri"/>
          <w:color w:val="111827"/>
          <w:sz w:val="20"/>
          <w:szCs w:val="20"/>
        </w:rPr>
        <w:t>execution momentum between gate reviews</w:t>
      </w:r>
      <w:r w:rsidR="00AE54CD">
        <w:rPr>
          <w:rFonts w:ascii="Calibri" w:hAnsi="Calibri" w:cs="Calibri"/>
          <w:color w:val="111827"/>
          <w:sz w:val="20"/>
          <w:szCs w:val="20"/>
        </w:rPr>
        <w:t>.</w:t>
      </w:r>
    </w:p>
    <w:p w14:paraId="0A27BB8A" w14:textId="7CABA696" w:rsidR="00D55214" w:rsidRPr="0067317B" w:rsidRDefault="00000000">
      <w:pPr>
        <w:tabs>
          <w:tab w:val="right" w:pos="9360"/>
        </w:tabs>
        <w:spacing w:before="160" w:after="28"/>
        <w:rPr>
          <w:color w:val="000000" w:themeColor="text1"/>
          <w:sz w:val="21"/>
          <w:szCs w:val="21"/>
        </w:rPr>
      </w:pPr>
      <w:r w:rsidRPr="0035314A">
        <w:rPr>
          <w:b/>
          <w:bCs/>
          <w:color w:val="111827"/>
          <w:sz w:val="22"/>
          <w:szCs w:val="22"/>
        </w:rPr>
        <w:t>Client Manager — Enterprise Program Lead</w:t>
      </w:r>
      <w:r w:rsidRPr="0035314A">
        <w:rPr>
          <w:i/>
          <w:iCs/>
          <w:color w:val="9CA3AF"/>
        </w:rPr>
        <w:tab/>
      </w:r>
      <w:r w:rsidR="00873FCE" w:rsidRPr="0035314A">
        <w:rPr>
          <w:i/>
          <w:iCs/>
          <w:color w:val="9CA3AF"/>
        </w:rPr>
        <w:t xml:space="preserve">       </w:t>
      </w:r>
      <w:r w:rsidRPr="0067317B">
        <w:rPr>
          <w:color w:val="000000" w:themeColor="text1"/>
        </w:rPr>
        <w:t>Jun 2022 – May 2025</w:t>
      </w:r>
    </w:p>
    <w:p w14:paraId="06A252BC" w14:textId="4F78CB07" w:rsidR="00ED35F1" w:rsidRPr="00BA4BD0" w:rsidRDefault="0067317B" w:rsidP="00ED35F1">
      <w:pPr>
        <w:spacing w:after="30"/>
        <w:rPr>
          <w:color w:val="000000" w:themeColor="text1"/>
          <w:sz w:val="21"/>
          <w:szCs w:val="21"/>
        </w:rPr>
      </w:pPr>
      <w:proofErr w:type="spellStart"/>
      <w:r w:rsidRPr="00BA4BD0">
        <w:rPr>
          <w:b/>
          <w:bCs/>
          <w:color w:val="000000" w:themeColor="text1"/>
        </w:rPr>
        <w:t>NielsenIQ</w:t>
      </w:r>
      <w:proofErr w:type="spellEnd"/>
      <w:r w:rsidRPr="00BA4BD0">
        <w:rPr>
          <w:color w:val="000000" w:themeColor="text1"/>
        </w:rPr>
        <w:t xml:space="preserve"> · Modesto</w:t>
      </w:r>
      <w:r w:rsidR="00000000" w:rsidRPr="00BA4BD0">
        <w:rPr>
          <w:color w:val="000000" w:themeColor="text1"/>
        </w:rPr>
        <w:t>, CA</w:t>
      </w:r>
      <w:r w:rsidR="00ED35F1" w:rsidRPr="00BA4BD0">
        <w:rPr>
          <w:color w:val="000000" w:themeColor="text1"/>
        </w:rPr>
        <w:t xml:space="preserve"> </w:t>
      </w:r>
    </w:p>
    <w:p w14:paraId="63407F40" w14:textId="10FB30C2" w:rsidR="0001272E" w:rsidRPr="0035314A" w:rsidRDefault="002142F8" w:rsidP="0001272E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bookmarkStart w:id="0" w:name="OLE_LINK1"/>
      <w:r w:rsidRPr="0035314A">
        <w:rPr>
          <w:rFonts w:ascii="Calibri" w:hAnsi="Calibri" w:cs="Calibri"/>
          <w:color w:val="111827"/>
          <w:sz w:val="20"/>
          <w:szCs w:val="20"/>
        </w:rPr>
        <w:t xml:space="preserve">Led </w:t>
      </w:r>
      <w:r w:rsidR="00CD2D85" w:rsidRPr="0035314A">
        <w:rPr>
          <w:rFonts w:ascii="Calibri" w:hAnsi="Calibri" w:cs="Calibri"/>
          <w:color w:val="111827"/>
          <w:sz w:val="20"/>
          <w:szCs w:val="20"/>
        </w:rPr>
        <w:t>D</w:t>
      </w:r>
      <w:r w:rsidR="00E21E6C" w:rsidRPr="0035314A">
        <w:rPr>
          <w:rFonts w:ascii="Calibri" w:hAnsi="Calibri" w:cs="Calibri"/>
          <w:color w:val="111827"/>
          <w:sz w:val="20"/>
          <w:szCs w:val="20"/>
        </w:rPr>
        <w:t xml:space="preserve">iscover platform </w:t>
      </w:r>
      <w:r w:rsidR="00ED35F1" w:rsidRPr="0035314A">
        <w:rPr>
          <w:rFonts w:ascii="Calibri" w:hAnsi="Calibri" w:cs="Calibri"/>
          <w:color w:val="111827"/>
          <w:sz w:val="20"/>
          <w:szCs w:val="20"/>
        </w:rPr>
        <w:t xml:space="preserve">bring-up during migration from legacy systems to Nielsen Discover; managed parallel validation </w:t>
      </w:r>
      <w:r w:rsidR="00CD2D85" w:rsidRPr="0035314A">
        <w:rPr>
          <w:rFonts w:ascii="Calibri" w:hAnsi="Calibri" w:cs="Calibri"/>
          <w:color w:val="111827"/>
          <w:sz w:val="20"/>
          <w:szCs w:val="20"/>
        </w:rPr>
        <w:t xml:space="preserve">and </w:t>
      </w:r>
      <w:r w:rsidR="00ED35F1" w:rsidRPr="0035314A">
        <w:rPr>
          <w:rFonts w:ascii="Calibri" w:hAnsi="Calibri" w:cs="Calibri"/>
          <w:color w:val="111827"/>
          <w:sz w:val="20"/>
          <w:szCs w:val="20"/>
        </w:rPr>
        <w:t>data integrity checks</w:t>
      </w:r>
      <w:r w:rsidR="00CD2D85" w:rsidRPr="0035314A">
        <w:rPr>
          <w:rFonts w:ascii="Calibri" w:hAnsi="Calibri" w:cs="Calibri"/>
          <w:color w:val="111827"/>
          <w:sz w:val="20"/>
          <w:szCs w:val="20"/>
        </w:rPr>
        <w:t xml:space="preserve"> to </w:t>
      </w:r>
      <w:r w:rsidR="00ED35F1" w:rsidRPr="0035314A">
        <w:rPr>
          <w:rFonts w:ascii="Calibri" w:hAnsi="Calibri" w:cs="Calibri"/>
          <w:color w:val="111827"/>
          <w:sz w:val="20"/>
          <w:szCs w:val="20"/>
        </w:rPr>
        <w:t>build readiness and production qualification.</w:t>
      </w:r>
    </w:p>
    <w:p w14:paraId="1F040C1B" w14:textId="06EDCC1D" w:rsidR="005630EF" w:rsidRPr="0035314A" w:rsidRDefault="0001272E" w:rsidP="005630EF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 xml:space="preserve">Managed </w:t>
      </w:r>
      <w:r w:rsidR="00CD2D85" w:rsidRPr="0035314A">
        <w:rPr>
          <w:rFonts w:ascii="Calibri" w:hAnsi="Calibri" w:cs="Calibri"/>
          <w:color w:val="111827"/>
          <w:sz w:val="20"/>
          <w:szCs w:val="20"/>
        </w:rPr>
        <w:t xml:space="preserve">complex, </w:t>
      </w:r>
      <w:r w:rsidRPr="0035314A">
        <w:rPr>
          <w:rFonts w:ascii="Calibri" w:hAnsi="Calibri" w:cs="Calibri"/>
          <w:color w:val="111827"/>
          <w:sz w:val="20"/>
          <w:szCs w:val="20"/>
        </w:rPr>
        <w:t>multi workstream enterprise programs</w:t>
      </w:r>
      <w:r w:rsidR="00CD2D85" w:rsidRPr="0035314A">
        <w:rPr>
          <w:rFonts w:ascii="Calibri" w:hAnsi="Calibri" w:cs="Calibri"/>
          <w:color w:val="111827"/>
          <w:sz w:val="20"/>
          <w:szCs w:val="20"/>
        </w:rPr>
        <w:t xml:space="preserve"> across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 product, engineering, operations, and offshore teams; drove onboarding and </w:t>
      </w:r>
      <w:r w:rsidR="00443BF3" w:rsidRPr="0035314A">
        <w:rPr>
          <w:rFonts w:ascii="Calibri" w:hAnsi="Calibri" w:cs="Calibri"/>
          <w:color w:val="111827"/>
          <w:sz w:val="20"/>
          <w:szCs w:val="20"/>
        </w:rPr>
        <w:t xml:space="preserve">error free 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launch readiness </w:t>
      </w:r>
      <w:r w:rsidR="00F70E36" w:rsidRPr="0035314A">
        <w:rPr>
          <w:rFonts w:ascii="Calibri" w:hAnsi="Calibri" w:cs="Calibri"/>
          <w:color w:val="111827"/>
          <w:sz w:val="20"/>
          <w:szCs w:val="20"/>
        </w:rPr>
        <w:t>for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 customer go-live.</w:t>
      </w:r>
    </w:p>
    <w:p w14:paraId="1B1C514B" w14:textId="77777777" w:rsidR="00532C2B" w:rsidRDefault="00F70E36" w:rsidP="005630EF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 xml:space="preserve">Led </w:t>
      </w:r>
      <w:r w:rsidR="005630EF" w:rsidRPr="0035314A">
        <w:rPr>
          <w:rFonts w:ascii="Calibri" w:hAnsi="Calibri" w:cs="Calibri"/>
          <w:color w:val="111827"/>
          <w:sz w:val="20"/>
          <w:szCs w:val="20"/>
        </w:rPr>
        <w:t xml:space="preserve">executive QBRs and program reviews </w:t>
      </w:r>
      <w:r w:rsidRPr="0035314A">
        <w:rPr>
          <w:rFonts w:ascii="Calibri" w:hAnsi="Calibri" w:cs="Calibri"/>
          <w:color w:val="111827"/>
          <w:sz w:val="20"/>
          <w:szCs w:val="20"/>
        </w:rPr>
        <w:t>to align stakeholders and speed up decisions</w:t>
      </w:r>
    </w:p>
    <w:p w14:paraId="242A97C3" w14:textId="49CE4B29" w:rsidR="005630EF" w:rsidRPr="0035314A" w:rsidRDefault="00532C2B" w:rsidP="005630EF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>
        <w:rPr>
          <w:rFonts w:ascii="Calibri" w:hAnsi="Calibri" w:cs="Calibri"/>
          <w:color w:val="111827"/>
          <w:sz w:val="20"/>
          <w:szCs w:val="20"/>
        </w:rPr>
        <w:t xml:space="preserve">Proactively resolved customer issues, increasing satisfaction, </w:t>
      </w:r>
      <w:r w:rsidR="00F70E36" w:rsidRPr="0035314A">
        <w:rPr>
          <w:rFonts w:ascii="Calibri" w:hAnsi="Calibri" w:cs="Calibri"/>
          <w:color w:val="111827"/>
          <w:sz w:val="20"/>
          <w:szCs w:val="20"/>
        </w:rPr>
        <w:t xml:space="preserve">and </w:t>
      </w:r>
      <w:r w:rsidRPr="0035314A">
        <w:rPr>
          <w:rFonts w:ascii="Calibri" w:hAnsi="Calibri" w:cs="Calibri"/>
          <w:color w:val="111827"/>
          <w:sz w:val="20"/>
          <w:szCs w:val="20"/>
        </w:rPr>
        <w:t>improved</w:t>
      </w:r>
      <w:r w:rsidR="00F70E36" w:rsidRPr="0035314A">
        <w:rPr>
          <w:rFonts w:ascii="Calibri" w:hAnsi="Calibri" w:cs="Calibri"/>
          <w:color w:val="111827"/>
          <w:sz w:val="20"/>
          <w:szCs w:val="20"/>
        </w:rPr>
        <w:t xml:space="preserve"> customer satisfaction (NPS) by 33%</w:t>
      </w:r>
      <w:r>
        <w:rPr>
          <w:rFonts w:ascii="Calibri" w:hAnsi="Calibri" w:cs="Calibri"/>
          <w:color w:val="111827"/>
          <w:sz w:val="20"/>
          <w:szCs w:val="20"/>
        </w:rPr>
        <w:t>.</w:t>
      </w:r>
    </w:p>
    <w:p w14:paraId="4E12DF62" w14:textId="68DA7740" w:rsidR="001A2878" w:rsidRPr="0035314A" w:rsidRDefault="00F70E36" w:rsidP="001A2878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>Built</w:t>
      </w:r>
      <w:r w:rsidR="005630EF" w:rsidRPr="0035314A">
        <w:rPr>
          <w:rFonts w:ascii="Calibri" w:hAnsi="Calibri" w:cs="Calibri"/>
          <w:color w:val="111827"/>
          <w:sz w:val="20"/>
          <w:szCs w:val="20"/>
        </w:rPr>
        <w:t xml:space="preserve"> ROI</w:t>
      </w:r>
      <w:r w:rsidR="00E21E6C" w:rsidRPr="0035314A">
        <w:rPr>
          <w:rFonts w:ascii="Calibri" w:hAnsi="Calibri" w:cs="Calibri"/>
          <w:color w:val="111827"/>
          <w:sz w:val="20"/>
          <w:szCs w:val="20"/>
        </w:rPr>
        <w:t xml:space="preserve"> </w:t>
      </w:r>
      <w:r w:rsidR="005630EF" w:rsidRPr="0035314A">
        <w:rPr>
          <w:rFonts w:ascii="Calibri" w:hAnsi="Calibri" w:cs="Calibri"/>
          <w:color w:val="111827"/>
          <w:sz w:val="20"/>
          <w:szCs w:val="20"/>
        </w:rPr>
        <w:t>based framework</w:t>
      </w:r>
      <w:r w:rsidRPr="0035314A">
        <w:rPr>
          <w:rFonts w:ascii="Calibri" w:hAnsi="Calibri" w:cs="Calibri"/>
          <w:color w:val="111827"/>
          <w:sz w:val="20"/>
          <w:szCs w:val="20"/>
        </w:rPr>
        <w:t>s</w:t>
      </w:r>
      <w:r w:rsidR="005630EF" w:rsidRPr="0035314A">
        <w:rPr>
          <w:rFonts w:ascii="Calibri" w:hAnsi="Calibri" w:cs="Calibri"/>
          <w:color w:val="111827"/>
          <w:sz w:val="20"/>
          <w:szCs w:val="20"/>
        </w:rPr>
        <w:t xml:space="preserve"> to </w:t>
      </w:r>
      <w:r w:rsidRPr="0035314A">
        <w:rPr>
          <w:rFonts w:ascii="Calibri" w:hAnsi="Calibri" w:cs="Calibri"/>
          <w:color w:val="111827"/>
          <w:sz w:val="20"/>
          <w:szCs w:val="20"/>
        </w:rPr>
        <w:t>evaluate</w:t>
      </w:r>
      <w:r w:rsidR="005630EF" w:rsidRPr="0035314A">
        <w:rPr>
          <w:rFonts w:ascii="Calibri" w:hAnsi="Calibri" w:cs="Calibri"/>
          <w:color w:val="111827"/>
          <w:sz w:val="20"/>
          <w:szCs w:val="20"/>
        </w:rPr>
        <w:t xml:space="preserve"> product trials,</w:t>
      </w:r>
      <w:r w:rsidR="00E21E6C" w:rsidRPr="0035314A">
        <w:rPr>
          <w:rFonts w:ascii="Calibri" w:hAnsi="Calibri" w:cs="Calibri"/>
          <w:color w:val="111827"/>
          <w:sz w:val="20"/>
          <w:szCs w:val="20"/>
        </w:rPr>
        <w:t xml:space="preserve"> a</w:t>
      </w:r>
      <w:r w:rsidR="005630EF" w:rsidRPr="0035314A">
        <w:rPr>
          <w:rFonts w:ascii="Calibri" w:hAnsi="Calibri" w:cs="Calibri"/>
          <w:color w:val="111827"/>
          <w:sz w:val="20"/>
          <w:szCs w:val="20"/>
        </w:rPr>
        <w:t>doption likelihood, and purchase probability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, improving </w:t>
      </w:r>
      <w:r w:rsidR="005630EF" w:rsidRPr="0035314A">
        <w:rPr>
          <w:rFonts w:ascii="Calibri" w:hAnsi="Calibri" w:cs="Calibri"/>
          <w:color w:val="111827"/>
          <w:sz w:val="20"/>
          <w:szCs w:val="20"/>
        </w:rPr>
        <w:t>program success and pilot utilization.</w:t>
      </w:r>
    </w:p>
    <w:p w14:paraId="197D690A" w14:textId="268504DE" w:rsidR="00291559" w:rsidRPr="0035314A" w:rsidRDefault="00F70E36" w:rsidP="005E5082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>Improved</w:t>
      </w:r>
      <w:r w:rsidR="00291559" w:rsidRPr="0035314A">
        <w:rPr>
          <w:rFonts w:ascii="Calibri" w:hAnsi="Calibri" w:cs="Calibri"/>
          <w:color w:val="111827"/>
          <w:sz w:val="20"/>
          <w:szCs w:val="20"/>
        </w:rPr>
        <w:t xml:space="preserve"> process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es </w:t>
      </w:r>
      <w:r w:rsidR="00291559" w:rsidRPr="0035314A">
        <w:rPr>
          <w:rFonts w:ascii="Calibri" w:hAnsi="Calibri" w:cs="Calibri"/>
          <w:color w:val="111827"/>
          <w:sz w:val="20"/>
          <w:szCs w:val="20"/>
        </w:rPr>
        <w:t xml:space="preserve">and 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introduced </w:t>
      </w:r>
      <w:r w:rsidR="00291559" w:rsidRPr="0035314A">
        <w:rPr>
          <w:rFonts w:ascii="Calibri" w:hAnsi="Calibri" w:cs="Calibri"/>
          <w:color w:val="111827"/>
          <w:sz w:val="20"/>
          <w:szCs w:val="20"/>
        </w:rPr>
        <w:t xml:space="preserve">automation </w:t>
      </w:r>
      <w:r w:rsidRPr="0035314A">
        <w:rPr>
          <w:rFonts w:ascii="Calibri" w:hAnsi="Calibri" w:cs="Calibri"/>
          <w:color w:val="111827"/>
          <w:sz w:val="20"/>
          <w:szCs w:val="20"/>
        </w:rPr>
        <w:t>to increase</w:t>
      </w:r>
      <w:r w:rsidR="00291559" w:rsidRPr="0035314A">
        <w:rPr>
          <w:rFonts w:ascii="Calibri" w:hAnsi="Calibri" w:cs="Calibri"/>
          <w:color w:val="111827"/>
          <w:sz w:val="20"/>
          <w:szCs w:val="20"/>
        </w:rPr>
        <w:t xml:space="preserve"> reporting accuracy and operational efficiency; tracked </w:t>
      </w:r>
      <w:r w:rsidRPr="0035314A">
        <w:rPr>
          <w:rFonts w:ascii="Calibri" w:hAnsi="Calibri" w:cs="Calibri"/>
          <w:color w:val="111827"/>
          <w:sz w:val="20"/>
          <w:szCs w:val="20"/>
        </w:rPr>
        <w:t>p</w:t>
      </w:r>
      <w:r w:rsidR="00291559" w:rsidRPr="0035314A">
        <w:rPr>
          <w:rFonts w:ascii="Calibri" w:hAnsi="Calibri" w:cs="Calibri"/>
          <w:color w:val="111827"/>
          <w:sz w:val="20"/>
          <w:szCs w:val="20"/>
        </w:rPr>
        <w:t>erformance dashboards and KPI</w:t>
      </w:r>
      <w:r w:rsidR="00E21E6C" w:rsidRPr="0035314A">
        <w:rPr>
          <w:rFonts w:ascii="Calibri" w:hAnsi="Calibri" w:cs="Calibri"/>
          <w:color w:val="111827"/>
          <w:sz w:val="20"/>
          <w:szCs w:val="20"/>
        </w:rPr>
        <w:t xml:space="preserve">. </w:t>
      </w:r>
    </w:p>
    <w:bookmarkEnd w:id="0"/>
    <w:p w14:paraId="0A27BB91" w14:textId="08C5709A" w:rsidR="00D55214" w:rsidRPr="0067317B" w:rsidRDefault="00000000" w:rsidP="00291559">
      <w:pPr>
        <w:pStyle w:val="Default"/>
        <w:tabs>
          <w:tab w:val="right" w:pos="9360"/>
        </w:tabs>
        <w:spacing w:before="160" w:after="28"/>
        <w:rPr>
          <w:color w:val="000000" w:themeColor="text1"/>
          <w:sz w:val="28"/>
          <w:szCs w:val="28"/>
        </w:rPr>
      </w:pPr>
      <w:r w:rsidRPr="0035314A">
        <w:rPr>
          <w:rFonts w:ascii="Calibri" w:hAnsi="Calibri" w:cs="Calibri"/>
          <w:b/>
          <w:bCs/>
          <w:color w:val="111827"/>
          <w:sz w:val="22"/>
          <w:szCs w:val="22"/>
        </w:rPr>
        <w:t>Co-Founder &amp; Product Lead</w:t>
      </w:r>
      <w:r w:rsidRPr="0035314A">
        <w:rPr>
          <w:rFonts w:ascii="Calibri" w:hAnsi="Calibri" w:cs="Calibri"/>
          <w:i/>
          <w:iCs/>
          <w:color w:val="9CA3AF"/>
          <w:sz w:val="20"/>
          <w:szCs w:val="20"/>
        </w:rPr>
        <w:tab/>
      </w:r>
      <w:r w:rsidRPr="0067317B">
        <w:rPr>
          <w:rFonts w:ascii="Calibri" w:hAnsi="Calibri" w:cs="Calibri"/>
          <w:color w:val="000000" w:themeColor="text1"/>
          <w:sz w:val="20"/>
          <w:szCs w:val="20"/>
        </w:rPr>
        <w:t>Aug 2019 – Jan 2022</w:t>
      </w:r>
    </w:p>
    <w:p w14:paraId="762CBADA" w14:textId="29479CA2" w:rsidR="008F2500" w:rsidRPr="0035314A" w:rsidRDefault="00000000" w:rsidP="008F2500">
      <w:pPr>
        <w:spacing w:after="30"/>
        <w:rPr>
          <w:sz w:val="21"/>
          <w:szCs w:val="21"/>
        </w:rPr>
      </w:pPr>
      <w:proofErr w:type="spellStart"/>
      <w:r w:rsidRPr="0067317B">
        <w:rPr>
          <w:b/>
          <w:bCs/>
          <w:color w:val="000000" w:themeColor="text1"/>
        </w:rPr>
        <w:t>Gathervine</w:t>
      </w:r>
      <w:proofErr w:type="spellEnd"/>
      <w:r w:rsidRPr="0067317B">
        <w:rPr>
          <w:b/>
          <w:bCs/>
          <w:color w:val="000000" w:themeColor="text1"/>
        </w:rPr>
        <w:t xml:space="preserve"> Inc.</w:t>
      </w:r>
      <w:r w:rsidRPr="0067317B">
        <w:rPr>
          <w:color w:val="000000" w:themeColor="text1"/>
        </w:rPr>
        <w:t xml:space="preserve">  </w:t>
      </w:r>
      <w:r w:rsidR="0067317B" w:rsidRPr="0067317B">
        <w:rPr>
          <w:color w:val="000000" w:themeColor="text1"/>
        </w:rPr>
        <w:t>· Santa</w:t>
      </w:r>
      <w:r w:rsidRPr="0067317B">
        <w:rPr>
          <w:color w:val="000000" w:themeColor="text1"/>
        </w:rPr>
        <w:t xml:space="preserve"> Clara, CA</w:t>
      </w:r>
    </w:p>
    <w:p w14:paraId="447922F7" w14:textId="35D9D159" w:rsidR="009D788B" w:rsidRPr="0035314A" w:rsidRDefault="00E21E6C" w:rsidP="009D788B">
      <w:pPr>
        <w:pStyle w:val="Default"/>
        <w:numPr>
          <w:ilvl w:val="0"/>
          <w:numId w:val="2"/>
        </w:numPr>
        <w:rPr>
          <w:rFonts w:ascii="Calibri" w:hAnsi="Calibri" w:cs="Calibri"/>
          <w:color w:val="19192D"/>
          <w:sz w:val="20"/>
          <w:szCs w:val="20"/>
        </w:rPr>
      </w:pPr>
      <w:r w:rsidRPr="0035314A">
        <w:rPr>
          <w:rFonts w:ascii="Calibri" w:hAnsi="Calibri" w:cs="Calibri"/>
          <w:color w:val="19192D"/>
          <w:sz w:val="20"/>
          <w:szCs w:val="20"/>
        </w:rPr>
        <w:t>Cof</w:t>
      </w:r>
      <w:r w:rsidR="008F2500" w:rsidRPr="0035314A">
        <w:rPr>
          <w:rFonts w:ascii="Calibri" w:hAnsi="Calibri" w:cs="Calibri"/>
          <w:color w:val="19192D"/>
          <w:sz w:val="20"/>
          <w:szCs w:val="20"/>
        </w:rPr>
        <w:t xml:space="preserve">ounded and </w:t>
      </w:r>
      <w:r w:rsidR="0035314A" w:rsidRPr="0035314A">
        <w:rPr>
          <w:rFonts w:ascii="Calibri" w:hAnsi="Calibri" w:cs="Calibri"/>
          <w:color w:val="19192D"/>
          <w:sz w:val="20"/>
          <w:szCs w:val="20"/>
        </w:rPr>
        <w:t>grew</w:t>
      </w:r>
      <w:r w:rsidR="008F2500" w:rsidRPr="0035314A">
        <w:rPr>
          <w:rFonts w:ascii="Calibri" w:hAnsi="Calibri" w:cs="Calibri"/>
          <w:color w:val="19192D"/>
          <w:sz w:val="20"/>
          <w:szCs w:val="20"/>
        </w:rPr>
        <w:t xml:space="preserve"> a community platform from 0 to 6,000+ users, </w:t>
      </w:r>
      <w:r w:rsidR="0035314A" w:rsidRPr="0035314A">
        <w:rPr>
          <w:rFonts w:ascii="Calibri" w:hAnsi="Calibri" w:cs="Calibri"/>
          <w:color w:val="19192D"/>
          <w:sz w:val="20"/>
          <w:szCs w:val="20"/>
        </w:rPr>
        <w:t xml:space="preserve">supporting </w:t>
      </w:r>
      <w:r w:rsidR="005B7944" w:rsidRPr="0035314A">
        <w:rPr>
          <w:rFonts w:ascii="Calibri" w:hAnsi="Calibri" w:cs="Calibri"/>
          <w:color w:val="19192D"/>
          <w:sz w:val="20"/>
          <w:szCs w:val="20"/>
        </w:rPr>
        <w:t>many communities during Covid</w:t>
      </w:r>
    </w:p>
    <w:p w14:paraId="2E5783D6" w14:textId="5F0F59F4" w:rsidR="005B7944" w:rsidRPr="0035314A" w:rsidRDefault="009D788B" w:rsidP="005B7944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9192D"/>
          <w:sz w:val="20"/>
          <w:szCs w:val="20"/>
        </w:rPr>
        <w:t xml:space="preserve">Managed full product lifecycle: </w:t>
      </w:r>
      <w:r w:rsidR="005B7944" w:rsidRPr="0035314A">
        <w:rPr>
          <w:rFonts w:ascii="Calibri" w:hAnsi="Calibri" w:cs="Calibri"/>
          <w:color w:val="19192D"/>
          <w:sz w:val="20"/>
          <w:szCs w:val="20"/>
        </w:rPr>
        <w:t xml:space="preserve">including concept </w:t>
      </w:r>
      <w:r w:rsidR="0035314A" w:rsidRPr="0035314A">
        <w:rPr>
          <w:rFonts w:ascii="Calibri" w:hAnsi="Calibri" w:cs="Calibri"/>
          <w:color w:val="19192D"/>
          <w:sz w:val="20"/>
          <w:szCs w:val="20"/>
        </w:rPr>
        <w:t xml:space="preserve">and </w:t>
      </w:r>
      <w:r w:rsidRPr="0035314A">
        <w:rPr>
          <w:rFonts w:ascii="Calibri" w:hAnsi="Calibri" w:cs="Calibri"/>
          <w:color w:val="19192D"/>
          <w:sz w:val="20"/>
          <w:szCs w:val="20"/>
        </w:rPr>
        <w:t>plannin</w:t>
      </w:r>
      <w:r w:rsidR="0035314A" w:rsidRPr="0035314A">
        <w:rPr>
          <w:rFonts w:ascii="Calibri" w:hAnsi="Calibri" w:cs="Calibri"/>
          <w:color w:val="19192D"/>
          <w:sz w:val="20"/>
          <w:szCs w:val="20"/>
        </w:rPr>
        <w:t>g to</w:t>
      </w:r>
      <w:r w:rsidRPr="0035314A">
        <w:rPr>
          <w:rFonts w:ascii="Calibri" w:hAnsi="Calibri" w:cs="Calibri"/>
          <w:color w:val="19192D"/>
          <w:sz w:val="20"/>
          <w:szCs w:val="20"/>
        </w:rPr>
        <w:t xml:space="preserve"> </w:t>
      </w:r>
      <w:r w:rsidR="005B7944" w:rsidRPr="0035314A">
        <w:rPr>
          <w:rFonts w:ascii="Calibri" w:hAnsi="Calibri" w:cs="Calibri"/>
          <w:color w:val="19192D"/>
          <w:sz w:val="20"/>
          <w:szCs w:val="20"/>
        </w:rPr>
        <w:t>design</w:t>
      </w:r>
      <w:r w:rsidR="0035314A" w:rsidRPr="0035314A">
        <w:rPr>
          <w:rFonts w:ascii="Calibri" w:hAnsi="Calibri" w:cs="Calibri"/>
          <w:color w:val="19192D"/>
          <w:sz w:val="20"/>
          <w:szCs w:val="20"/>
        </w:rPr>
        <w:t xml:space="preserve">, </w:t>
      </w:r>
      <w:r w:rsidRPr="0035314A">
        <w:rPr>
          <w:rFonts w:ascii="Calibri" w:hAnsi="Calibri" w:cs="Calibri"/>
          <w:color w:val="19192D"/>
          <w:sz w:val="20"/>
          <w:szCs w:val="20"/>
        </w:rPr>
        <w:t xml:space="preserve">launch </w:t>
      </w:r>
      <w:r w:rsidR="005B7944" w:rsidRPr="0035314A">
        <w:rPr>
          <w:rFonts w:ascii="Calibri" w:hAnsi="Calibri" w:cs="Calibri"/>
          <w:color w:val="111827"/>
          <w:sz w:val="20"/>
          <w:szCs w:val="20"/>
        </w:rPr>
        <w:t>and go to market</w:t>
      </w:r>
    </w:p>
    <w:p w14:paraId="2D219CB2" w14:textId="36CEF48C" w:rsidR="005B7944" w:rsidRPr="0035314A" w:rsidRDefault="001A2878" w:rsidP="005B7944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>Defined launch readiness criteria and coordinated execution</w:t>
      </w:r>
      <w:r w:rsidR="0035314A" w:rsidRPr="0035314A">
        <w:rPr>
          <w:rFonts w:ascii="Calibri" w:hAnsi="Calibri" w:cs="Calibri"/>
          <w:color w:val="111827"/>
          <w:sz w:val="20"/>
          <w:szCs w:val="20"/>
        </w:rPr>
        <w:t xml:space="preserve"> across 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product, operations, and external </w:t>
      </w:r>
      <w:r w:rsidR="0035314A" w:rsidRPr="0035314A">
        <w:rPr>
          <w:rFonts w:ascii="Calibri" w:hAnsi="Calibri" w:cs="Calibri"/>
          <w:color w:val="111827"/>
          <w:sz w:val="20"/>
          <w:szCs w:val="20"/>
        </w:rPr>
        <w:t>partners</w:t>
      </w:r>
    </w:p>
    <w:p w14:paraId="0D3F3F22" w14:textId="26A0DFB0" w:rsidR="00C9764C" w:rsidRPr="0035314A" w:rsidRDefault="0035314A" w:rsidP="00C9764C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t>Partnered</w:t>
      </w:r>
      <w:r w:rsidR="005B7944" w:rsidRPr="0035314A">
        <w:rPr>
          <w:rFonts w:ascii="Calibri" w:hAnsi="Calibri" w:cs="Calibri"/>
          <w:color w:val="111827"/>
          <w:sz w:val="20"/>
          <w:szCs w:val="20"/>
        </w:rPr>
        <w:t xml:space="preserve"> with 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global </w:t>
      </w:r>
      <w:r w:rsidR="005B7944" w:rsidRPr="0035314A">
        <w:rPr>
          <w:rFonts w:ascii="Calibri" w:hAnsi="Calibri" w:cs="Calibri"/>
          <w:color w:val="111827"/>
          <w:sz w:val="20"/>
          <w:szCs w:val="20"/>
        </w:rPr>
        <w:t xml:space="preserve">education platforms to </w:t>
      </w:r>
      <w:r w:rsidRPr="0035314A">
        <w:rPr>
          <w:rFonts w:ascii="Calibri" w:hAnsi="Calibri" w:cs="Calibri"/>
          <w:color w:val="111827"/>
          <w:sz w:val="20"/>
          <w:szCs w:val="20"/>
        </w:rPr>
        <w:t>run</w:t>
      </w:r>
      <w:r w:rsidR="005B7944" w:rsidRPr="0035314A">
        <w:rPr>
          <w:rFonts w:ascii="Calibri" w:hAnsi="Calibri" w:cs="Calibri"/>
          <w:color w:val="111827"/>
          <w:sz w:val="20"/>
          <w:szCs w:val="20"/>
        </w:rPr>
        <w:t xml:space="preserve"> campaigns 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within the </w:t>
      </w:r>
      <w:r w:rsidR="005B7944" w:rsidRPr="0035314A">
        <w:rPr>
          <w:rFonts w:ascii="Calibri" w:hAnsi="Calibri" w:cs="Calibri"/>
          <w:color w:val="111827"/>
          <w:sz w:val="20"/>
          <w:szCs w:val="20"/>
        </w:rPr>
        <w:t xml:space="preserve">community, increasing revenue </w:t>
      </w:r>
      <w:r w:rsidRPr="0035314A">
        <w:rPr>
          <w:rFonts w:ascii="Calibri" w:hAnsi="Calibri" w:cs="Calibri"/>
          <w:color w:val="111827"/>
          <w:sz w:val="20"/>
          <w:szCs w:val="20"/>
        </w:rPr>
        <w:t xml:space="preserve">by </w:t>
      </w:r>
      <w:r w:rsidR="005B7944" w:rsidRPr="0035314A">
        <w:rPr>
          <w:rFonts w:ascii="Calibri" w:hAnsi="Calibri" w:cs="Calibri"/>
          <w:color w:val="111827"/>
          <w:sz w:val="20"/>
          <w:szCs w:val="20"/>
        </w:rPr>
        <w:t>270% YoY.</w:t>
      </w:r>
    </w:p>
    <w:p w14:paraId="17384560" w14:textId="45F39BC9" w:rsidR="00C9764C" w:rsidRPr="0035314A" w:rsidRDefault="0035314A" w:rsidP="00C9764C">
      <w:pPr>
        <w:pStyle w:val="Default"/>
        <w:numPr>
          <w:ilvl w:val="0"/>
          <w:numId w:val="2"/>
        </w:numPr>
        <w:rPr>
          <w:rFonts w:ascii="Calibri" w:hAnsi="Calibri" w:cs="Calibri"/>
          <w:color w:val="111827"/>
          <w:sz w:val="20"/>
          <w:szCs w:val="20"/>
        </w:rPr>
      </w:pPr>
      <w:r w:rsidRPr="0035314A">
        <w:rPr>
          <w:rFonts w:ascii="Calibri" w:hAnsi="Calibri" w:cs="Calibri"/>
          <w:color w:val="111827"/>
          <w:sz w:val="20"/>
          <w:szCs w:val="20"/>
        </w:rPr>
        <w:lastRenderedPageBreak/>
        <w:t>Used beta user feedback and data insights to prioritize features and guide product decisions</w:t>
      </w:r>
    </w:p>
    <w:p w14:paraId="0A27BB97" w14:textId="198D56A6" w:rsidR="00D55214" w:rsidRPr="0035314A" w:rsidRDefault="00000000">
      <w:pPr>
        <w:tabs>
          <w:tab w:val="right" w:pos="9360"/>
        </w:tabs>
        <w:spacing w:before="160" w:after="28"/>
        <w:rPr>
          <w:b/>
          <w:bCs/>
          <w:sz w:val="21"/>
          <w:szCs w:val="21"/>
        </w:rPr>
      </w:pPr>
      <w:r w:rsidRPr="0035314A">
        <w:rPr>
          <w:b/>
          <w:bCs/>
          <w:color w:val="111827"/>
          <w:sz w:val="22"/>
          <w:szCs w:val="22"/>
        </w:rPr>
        <w:t>Merchant &amp; Merchandising Manager</w:t>
      </w:r>
      <w:r w:rsidRPr="0035314A">
        <w:rPr>
          <w:i/>
          <w:iCs/>
          <w:color w:val="9CA3AF"/>
        </w:rPr>
        <w:tab/>
      </w:r>
      <w:r w:rsidR="00234D13" w:rsidRPr="00BA4BD0">
        <w:rPr>
          <w:color w:val="000000" w:themeColor="text1"/>
        </w:rPr>
        <w:t xml:space="preserve"> </w:t>
      </w:r>
      <w:r w:rsidRPr="00BA4BD0">
        <w:rPr>
          <w:color w:val="000000" w:themeColor="text1"/>
        </w:rPr>
        <w:t>Mar 2012 – Oct 2016</w:t>
      </w:r>
    </w:p>
    <w:p w14:paraId="10309370" w14:textId="27FB3AA5" w:rsidR="0028003D" w:rsidRPr="0035314A" w:rsidRDefault="00000000" w:rsidP="0028003D">
      <w:pPr>
        <w:spacing w:after="30"/>
        <w:rPr>
          <w:sz w:val="21"/>
          <w:szCs w:val="21"/>
        </w:rPr>
      </w:pPr>
      <w:r w:rsidRPr="00BA4BD0">
        <w:rPr>
          <w:b/>
          <w:bCs/>
          <w:color w:val="000000" w:themeColor="text1"/>
        </w:rPr>
        <w:t>Loblaw Companies</w:t>
      </w:r>
      <w:r w:rsidR="00286BDE" w:rsidRPr="00BA4BD0">
        <w:rPr>
          <w:b/>
          <w:bCs/>
          <w:color w:val="000000" w:themeColor="text1"/>
        </w:rPr>
        <w:t xml:space="preserve"> </w:t>
      </w:r>
      <w:r w:rsidR="00BA4BD0" w:rsidRPr="00BA4BD0">
        <w:rPr>
          <w:b/>
          <w:bCs/>
          <w:color w:val="000000" w:themeColor="text1"/>
        </w:rPr>
        <w:t>Limited</w:t>
      </w:r>
      <w:r w:rsidR="00BA4BD0" w:rsidRPr="00BA4BD0">
        <w:rPr>
          <w:color w:val="000000" w:themeColor="text1"/>
        </w:rPr>
        <w:t xml:space="preserve"> · Brampton</w:t>
      </w:r>
      <w:r w:rsidRPr="00BA4BD0">
        <w:rPr>
          <w:color w:val="000000" w:themeColor="text1"/>
        </w:rPr>
        <w:t>, ON</w:t>
      </w:r>
    </w:p>
    <w:p w14:paraId="15C68C25" w14:textId="2519E646" w:rsidR="0028003D" w:rsidRPr="0035314A" w:rsidRDefault="0028003D" w:rsidP="0028003D">
      <w:pPr>
        <w:pStyle w:val="Default"/>
        <w:numPr>
          <w:ilvl w:val="0"/>
          <w:numId w:val="2"/>
        </w:numPr>
        <w:rPr>
          <w:color w:val="19192D"/>
          <w:sz w:val="20"/>
          <w:szCs w:val="20"/>
        </w:rPr>
      </w:pPr>
      <w:r w:rsidRPr="0035314A">
        <w:rPr>
          <w:color w:val="19192D"/>
          <w:sz w:val="20"/>
          <w:szCs w:val="20"/>
        </w:rPr>
        <w:t xml:space="preserve">Managed full product introduction </w:t>
      </w:r>
      <w:r w:rsidR="0035314A">
        <w:rPr>
          <w:color w:val="19192D"/>
          <w:sz w:val="20"/>
          <w:szCs w:val="20"/>
        </w:rPr>
        <w:t xml:space="preserve">across </w:t>
      </w:r>
      <w:r w:rsidRPr="0035314A">
        <w:rPr>
          <w:color w:val="19192D"/>
          <w:sz w:val="20"/>
          <w:szCs w:val="20"/>
        </w:rPr>
        <w:t xml:space="preserve">large retail programs from vendor qualification and </w:t>
      </w:r>
      <w:r w:rsidR="0035314A">
        <w:rPr>
          <w:color w:val="19192D"/>
          <w:sz w:val="20"/>
          <w:szCs w:val="20"/>
        </w:rPr>
        <w:t xml:space="preserve">product </w:t>
      </w:r>
      <w:r w:rsidRPr="0035314A">
        <w:rPr>
          <w:color w:val="19192D"/>
          <w:sz w:val="20"/>
          <w:szCs w:val="20"/>
        </w:rPr>
        <w:t>spec</w:t>
      </w:r>
      <w:r w:rsidR="0035314A">
        <w:rPr>
          <w:color w:val="19192D"/>
          <w:sz w:val="20"/>
          <w:szCs w:val="20"/>
        </w:rPr>
        <w:t>s</w:t>
      </w:r>
      <w:r w:rsidRPr="0035314A">
        <w:rPr>
          <w:color w:val="19192D"/>
          <w:sz w:val="20"/>
          <w:szCs w:val="20"/>
        </w:rPr>
        <w:t xml:space="preserve"> through production readiness, inventory planning, and launch </w:t>
      </w:r>
    </w:p>
    <w:p w14:paraId="329ED9E7" w14:textId="52E117AF" w:rsidR="00563DB6" w:rsidRPr="0035314A" w:rsidRDefault="0035314A" w:rsidP="00563DB6">
      <w:pPr>
        <w:pStyle w:val="Default"/>
        <w:numPr>
          <w:ilvl w:val="0"/>
          <w:numId w:val="2"/>
        </w:numPr>
        <w:rPr>
          <w:color w:val="19192D"/>
          <w:sz w:val="20"/>
          <w:szCs w:val="20"/>
        </w:rPr>
      </w:pPr>
      <w:r>
        <w:rPr>
          <w:color w:val="19192D"/>
          <w:sz w:val="20"/>
          <w:szCs w:val="20"/>
        </w:rPr>
        <w:t>Coordinated across</w:t>
      </w:r>
      <w:r w:rsidR="0028003D" w:rsidRPr="0035314A">
        <w:rPr>
          <w:color w:val="19192D"/>
          <w:sz w:val="20"/>
          <w:szCs w:val="20"/>
        </w:rPr>
        <w:t xml:space="preserve"> buying, planning, logistics, marketing, and vendor partners to </w:t>
      </w:r>
      <w:r>
        <w:rPr>
          <w:color w:val="19192D"/>
          <w:sz w:val="20"/>
          <w:szCs w:val="20"/>
        </w:rPr>
        <w:t>meet timelines; managed dependencies and escalated risks to keep planogram launches on track</w:t>
      </w:r>
      <w:r w:rsidR="0028003D" w:rsidRPr="0035314A">
        <w:rPr>
          <w:color w:val="19192D"/>
          <w:sz w:val="20"/>
          <w:szCs w:val="20"/>
        </w:rPr>
        <w:t xml:space="preserve"> </w:t>
      </w:r>
    </w:p>
    <w:p w14:paraId="76168A95" w14:textId="4A58A34C" w:rsidR="00563DB6" w:rsidRPr="0035314A" w:rsidRDefault="00563DB6" w:rsidP="00563DB6">
      <w:pPr>
        <w:pStyle w:val="Default"/>
        <w:numPr>
          <w:ilvl w:val="0"/>
          <w:numId w:val="2"/>
        </w:numPr>
        <w:rPr>
          <w:color w:val="19192D"/>
          <w:sz w:val="20"/>
          <w:szCs w:val="20"/>
        </w:rPr>
      </w:pPr>
      <w:r w:rsidRPr="0035314A">
        <w:rPr>
          <w:color w:val="19192D"/>
          <w:sz w:val="20"/>
          <w:szCs w:val="20"/>
        </w:rPr>
        <w:t xml:space="preserve">Led vendor qualification and onboarding, evaluating product readiness, cost, and delivery capability before launch </w:t>
      </w:r>
    </w:p>
    <w:p w14:paraId="420C4FB1" w14:textId="3569090F" w:rsidR="00234D13" w:rsidRDefault="00234D13" w:rsidP="00563DB6">
      <w:pPr>
        <w:pStyle w:val="Default"/>
        <w:numPr>
          <w:ilvl w:val="0"/>
          <w:numId w:val="2"/>
        </w:numPr>
        <w:rPr>
          <w:color w:val="19192D"/>
          <w:sz w:val="20"/>
          <w:szCs w:val="20"/>
        </w:rPr>
      </w:pPr>
      <w:r>
        <w:rPr>
          <w:color w:val="19192D"/>
          <w:sz w:val="20"/>
          <w:szCs w:val="20"/>
        </w:rPr>
        <w:t>Built structured timelines, milestone tracking and risk management processes to improve execution across product launches</w:t>
      </w:r>
    </w:p>
    <w:p w14:paraId="59CF5EE1" w14:textId="6DBB35D0" w:rsidR="00563DB6" w:rsidRPr="0035314A" w:rsidRDefault="00563DB6" w:rsidP="00563DB6">
      <w:pPr>
        <w:pStyle w:val="Default"/>
        <w:numPr>
          <w:ilvl w:val="0"/>
          <w:numId w:val="2"/>
        </w:numPr>
        <w:rPr>
          <w:color w:val="19192D"/>
          <w:sz w:val="20"/>
          <w:szCs w:val="20"/>
        </w:rPr>
      </w:pPr>
      <w:r w:rsidRPr="0035314A">
        <w:rPr>
          <w:color w:val="19192D"/>
          <w:sz w:val="20"/>
          <w:szCs w:val="20"/>
        </w:rPr>
        <w:t>Progressed through three levels of increasing program scope (Associate Merchant → Merchant → Merchandising Manager) over four years, demonstrating sustained performance across larger and more complex product introduction cycles.</w:t>
      </w:r>
    </w:p>
    <w:p w14:paraId="22BD4E18" w14:textId="77777777" w:rsidR="009B5849" w:rsidRDefault="009B5849">
      <w:pPr>
        <w:spacing w:before="180" w:after="30"/>
        <w:rPr>
          <w:b/>
          <w:bCs/>
          <w:color w:val="000000" w:themeColor="text1"/>
          <w:spacing w:val="80"/>
          <w:sz w:val="21"/>
          <w:szCs w:val="21"/>
        </w:rPr>
      </w:pPr>
    </w:p>
    <w:p w14:paraId="0A27BB9D" w14:textId="6AD905B8" w:rsidR="00D55214" w:rsidRPr="009B5849" w:rsidRDefault="009B5849">
      <w:pPr>
        <w:spacing w:before="180" w:after="30"/>
        <w:rPr>
          <w:color w:val="000000" w:themeColor="text1"/>
          <w:sz w:val="21"/>
          <w:szCs w:val="21"/>
        </w:rPr>
      </w:pPr>
      <w:r w:rsidRPr="009B5849">
        <w:rPr>
          <w:b/>
          <w:bCs/>
          <w:color w:val="000000" w:themeColor="text1"/>
          <w:spacing w:val="80"/>
          <w:sz w:val="21"/>
          <w:szCs w:val="21"/>
        </w:rPr>
        <w:t>Skills</w:t>
      </w:r>
    </w:p>
    <w:p w14:paraId="0A27BB9E" w14:textId="77777777" w:rsidR="00D55214" w:rsidRPr="0035314A" w:rsidRDefault="00D55214">
      <w:pPr>
        <w:pBdr>
          <w:bottom w:val="single" w:sz="8" w:space="1" w:color="1B4F72"/>
        </w:pBdr>
        <w:spacing w:before="50" w:after="90"/>
        <w:rPr>
          <w:sz w:val="21"/>
          <w:szCs w:val="2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7860"/>
      </w:tblGrid>
      <w:tr w:rsidR="00B032B9" w:rsidRPr="0035314A" w14:paraId="0A27BBA1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0A27BB9F" w14:textId="0F134EC7" w:rsidR="00B032B9" w:rsidRPr="00BA4BD0" w:rsidRDefault="00234D13">
            <w:pPr>
              <w:rPr>
                <w:color w:val="000000" w:themeColor="text1"/>
                <w:sz w:val="21"/>
                <w:szCs w:val="21"/>
              </w:rPr>
            </w:pPr>
            <w:r w:rsidRPr="00BA4BD0">
              <w:rPr>
                <w:b/>
                <w:bCs/>
                <w:color w:val="000000" w:themeColor="text1"/>
                <w:sz w:val="18"/>
                <w:szCs w:val="18"/>
              </w:rPr>
              <w:t xml:space="preserve">Program &amp; </w:t>
            </w:r>
            <w:r w:rsidR="00C36B90" w:rsidRPr="00BA4BD0">
              <w:rPr>
                <w:b/>
                <w:bCs/>
                <w:color w:val="000000" w:themeColor="text1"/>
                <w:sz w:val="18"/>
                <w:szCs w:val="18"/>
              </w:rPr>
              <w:t>Execution</w:t>
            </w: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0" w:type="dxa"/>
            </w:tcMar>
          </w:tcPr>
          <w:p w14:paraId="0A27BBA0" w14:textId="78252F7E" w:rsidR="00B032B9" w:rsidRPr="00BA4BD0" w:rsidRDefault="00234D13">
            <w:pPr>
              <w:rPr>
                <w:color w:val="000000" w:themeColor="text1"/>
                <w:sz w:val="21"/>
                <w:szCs w:val="21"/>
              </w:rPr>
            </w:pPr>
            <w:r w:rsidRPr="00BA4BD0">
              <w:rPr>
                <w:color w:val="000000" w:themeColor="text1"/>
                <w:sz w:val="18"/>
                <w:szCs w:val="18"/>
              </w:rPr>
              <w:t xml:space="preserve">End to </w:t>
            </w:r>
            <w:proofErr w:type="gramStart"/>
            <w:r w:rsidRPr="00BA4BD0">
              <w:rPr>
                <w:color w:val="000000" w:themeColor="text1"/>
                <w:sz w:val="18"/>
                <w:szCs w:val="18"/>
              </w:rPr>
              <w:t>end product</w:t>
            </w:r>
            <w:proofErr w:type="gramEnd"/>
            <w:r w:rsidRPr="00BA4BD0">
              <w:rPr>
                <w:color w:val="000000" w:themeColor="text1"/>
                <w:sz w:val="18"/>
                <w:szCs w:val="18"/>
              </w:rPr>
              <w:t xml:space="preserve"> lifecycle</w:t>
            </w:r>
            <w:r w:rsidR="00B032B9" w:rsidRPr="00BA4BD0">
              <w:rPr>
                <w:color w:val="000000" w:themeColor="text1"/>
                <w:sz w:val="18"/>
                <w:szCs w:val="18"/>
              </w:rPr>
              <w:t xml:space="preserve"> · Platform Bring-Up &amp; </w:t>
            </w:r>
            <w:r w:rsidRPr="00BA4BD0">
              <w:rPr>
                <w:color w:val="000000" w:themeColor="text1"/>
                <w:sz w:val="18"/>
                <w:szCs w:val="18"/>
              </w:rPr>
              <w:t>v</w:t>
            </w:r>
            <w:r w:rsidR="00B032B9" w:rsidRPr="00BA4BD0">
              <w:rPr>
                <w:color w:val="000000" w:themeColor="text1"/>
                <w:sz w:val="18"/>
                <w:szCs w:val="18"/>
              </w:rPr>
              <w:t xml:space="preserve">alidation · </w:t>
            </w:r>
            <w:r w:rsidR="00C36B90" w:rsidRPr="00BA4BD0">
              <w:rPr>
                <w:color w:val="000000" w:themeColor="text1"/>
                <w:sz w:val="18"/>
                <w:szCs w:val="18"/>
              </w:rPr>
              <w:t xml:space="preserve">NPI &amp; system integration · </w:t>
            </w:r>
            <w:r w:rsidR="00B032B9" w:rsidRPr="00BA4BD0">
              <w:rPr>
                <w:color w:val="000000" w:themeColor="text1"/>
                <w:sz w:val="18"/>
                <w:szCs w:val="18"/>
              </w:rPr>
              <w:t xml:space="preserve">Production Readiness · </w:t>
            </w:r>
            <w:r w:rsidRPr="00BA4BD0">
              <w:rPr>
                <w:color w:val="000000" w:themeColor="text1"/>
                <w:sz w:val="18"/>
                <w:szCs w:val="18"/>
              </w:rPr>
              <w:t>Milestone tracking</w:t>
            </w:r>
            <w:r w:rsidR="00B032B9" w:rsidRPr="00BA4BD0">
              <w:rPr>
                <w:color w:val="000000" w:themeColor="text1"/>
                <w:sz w:val="18"/>
                <w:szCs w:val="18"/>
              </w:rPr>
              <w:t xml:space="preserve"> · </w:t>
            </w:r>
            <w:r w:rsidRPr="00BA4BD0">
              <w:rPr>
                <w:color w:val="000000" w:themeColor="text1"/>
                <w:sz w:val="18"/>
                <w:szCs w:val="18"/>
              </w:rPr>
              <w:t>Risk management</w:t>
            </w:r>
            <w:r w:rsidR="00B032B9" w:rsidRPr="00BA4BD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032B9" w:rsidRPr="0035314A" w14:paraId="0A27BBA4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0A27BBA2" w14:textId="33C58F2A" w:rsidR="00B032B9" w:rsidRPr="00BA4BD0" w:rsidRDefault="00B032B9">
            <w:pPr>
              <w:rPr>
                <w:color w:val="000000" w:themeColor="text1"/>
                <w:sz w:val="21"/>
                <w:szCs w:val="21"/>
              </w:rPr>
            </w:pPr>
            <w:r w:rsidRPr="00BA4BD0">
              <w:rPr>
                <w:b/>
                <w:bCs/>
                <w:color w:val="000000" w:themeColor="text1"/>
                <w:sz w:val="18"/>
                <w:szCs w:val="18"/>
              </w:rPr>
              <w:t xml:space="preserve">SW </w:t>
            </w:r>
            <w:r w:rsidR="00234D13" w:rsidRPr="00BA4BD0">
              <w:rPr>
                <w:b/>
                <w:bCs/>
                <w:color w:val="000000" w:themeColor="text1"/>
                <w:sz w:val="18"/>
                <w:szCs w:val="18"/>
              </w:rPr>
              <w:t>&amp; Systems</w:t>
            </w: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0" w:type="dxa"/>
            </w:tcMar>
          </w:tcPr>
          <w:p w14:paraId="0A27BBA3" w14:textId="3D5B0EC5" w:rsidR="00B032B9" w:rsidRPr="00BA4BD0" w:rsidRDefault="00B032B9">
            <w:pPr>
              <w:rPr>
                <w:color w:val="000000" w:themeColor="text1"/>
                <w:sz w:val="21"/>
                <w:szCs w:val="21"/>
              </w:rPr>
            </w:pPr>
            <w:r w:rsidRPr="00BA4BD0">
              <w:rPr>
                <w:color w:val="000000" w:themeColor="text1"/>
                <w:sz w:val="18"/>
                <w:szCs w:val="18"/>
              </w:rPr>
              <w:t xml:space="preserve">SDLC · </w:t>
            </w:r>
            <w:r w:rsidR="00234D13" w:rsidRPr="00BA4BD0">
              <w:rPr>
                <w:color w:val="000000" w:themeColor="text1"/>
                <w:sz w:val="18"/>
                <w:szCs w:val="18"/>
              </w:rPr>
              <w:t>System/software releases</w:t>
            </w:r>
            <w:r w:rsidRPr="00BA4BD0">
              <w:rPr>
                <w:color w:val="000000" w:themeColor="text1"/>
                <w:sz w:val="18"/>
                <w:szCs w:val="18"/>
              </w:rPr>
              <w:t xml:space="preserve"> · </w:t>
            </w:r>
            <w:r w:rsidR="00234D13" w:rsidRPr="00BA4BD0">
              <w:rPr>
                <w:color w:val="000000" w:themeColor="text1"/>
                <w:sz w:val="18"/>
                <w:szCs w:val="18"/>
              </w:rPr>
              <w:t>QA &amp; validation</w:t>
            </w:r>
            <w:r w:rsidRPr="00BA4BD0">
              <w:rPr>
                <w:color w:val="000000" w:themeColor="text1"/>
                <w:sz w:val="18"/>
                <w:szCs w:val="18"/>
              </w:rPr>
              <w:t xml:space="preserve"> · </w:t>
            </w:r>
            <w:r w:rsidR="00EC3C90" w:rsidRPr="00BA4BD0">
              <w:rPr>
                <w:color w:val="000000" w:themeColor="text1"/>
                <w:sz w:val="18"/>
                <w:szCs w:val="18"/>
              </w:rPr>
              <w:t>Diagnostics</w:t>
            </w:r>
            <w:r w:rsidRPr="00BA4BD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032B9" w:rsidRPr="0035314A" w14:paraId="0A27BBA7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0A27BBA5" w14:textId="27CEB529" w:rsidR="00B032B9" w:rsidRPr="00BA4BD0" w:rsidRDefault="00B032B9">
            <w:pPr>
              <w:rPr>
                <w:color w:val="000000" w:themeColor="text1"/>
                <w:sz w:val="21"/>
                <w:szCs w:val="21"/>
              </w:rPr>
            </w:pPr>
            <w:r w:rsidRPr="00BA4BD0">
              <w:rPr>
                <w:b/>
                <w:bCs/>
                <w:color w:val="000000" w:themeColor="text1"/>
                <w:sz w:val="18"/>
                <w:szCs w:val="18"/>
              </w:rPr>
              <w:t>Hardware</w:t>
            </w: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0" w:type="dxa"/>
            </w:tcMar>
          </w:tcPr>
          <w:p w14:paraId="0A27BBA6" w14:textId="28A75F0C" w:rsidR="00B032B9" w:rsidRPr="00BA4BD0" w:rsidRDefault="00B032B9">
            <w:pPr>
              <w:rPr>
                <w:color w:val="000000" w:themeColor="text1"/>
                <w:sz w:val="21"/>
                <w:szCs w:val="21"/>
              </w:rPr>
            </w:pPr>
            <w:r w:rsidRPr="00BA4BD0">
              <w:rPr>
                <w:color w:val="000000" w:themeColor="text1"/>
                <w:sz w:val="18"/>
                <w:szCs w:val="18"/>
              </w:rPr>
              <w:t xml:space="preserve">AI Infrastructure · </w:t>
            </w:r>
            <w:r w:rsidR="00234D13" w:rsidRPr="00BA4BD0">
              <w:rPr>
                <w:color w:val="000000" w:themeColor="text1"/>
                <w:sz w:val="18"/>
                <w:szCs w:val="18"/>
              </w:rPr>
              <w:t xml:space="preserve">GPU systems · </w:t>
            </w:r>
            <w:r w:rsidRPr="00BA4BD0">
              <w:rPr>
                <w:color w:val="000000" w:themeColor="text1"/>
                <w:sz w:val="18"/>
                <w:szCs w:val="18"/>
              </w:rPr>
              <w:t xml:space="preserve">Chip Integration · </w:t>
            </w:r>
            <w:r w:rsidR="00BA4BD0">
              <w:rPr>
                <w:color w:val="000000" w:themeColor="text1"/>
                <w:sz w:val="18"/>
                <w:szCs w:val="18"/>
              </w:rPr>
              <w:t>AMD/</w:t>
            </w:r>
            <w:r w:rsidR="009B5849">
              <w:rPr>
                <w:color w:val="000000" w:themeColor="text1"/>
                <w:sz w:val="18"/>
                <w:szCs w:val="18"/>
              </w:rPr>
              <w:t xml:space="preserve">Intel </w:t>
            </w:r>
            <w:r w:rsidR="009B5849" w:rsidRPr="00BA4BD0">
              <w:rPr>
                <w:color w:val="000000" w:themeColor="text1"/>
                <w:sz w:val="18"/>
                <w:szCs w:val="18"/>
              </w:rPr>
              <w:t>·</w:t>
            </w:r>
            <w:r w:rsidRPr="00BA4BD0">
              <w:rPr>
                <w:color w:val="000000" w:themeColor="text1"/>
                <w:sz w:val="18"/>
                <w:szCs w:val="18"/>
              </w:rPr>
              <w:t xml:space="preserve"> </w:t>
            </w:r>
            <w:r w:rsidR="00234D13" w:rsidRPr="00BA4BD0">
              <w:rPr>
                <w:color w:val="000000" w:themeColor="text1"/>
                <w:sz w:val="18"/>
                <w:szCs w:val="18"/>
              </w:rPr>
              <w:t xml:space="preserve">Networking </w:t>
            </w:r>
          </w:p>
        </w:tc>
      </w:tr>
      <w:tr w:rsidR="00B032B9" w:rsidRPr="0035314A" w14:paraId="0A27BBAA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0A27BBA8" w14:textId="1C4826B8" w:rsidR="00B032B9" w:rsidRPr="00BA4BD0" w:rsidRDefault="00347634">
            <w:pPr>
              <w:rPr>
                <w:color w:val="000000" w:themeColor="text1"/>
                <w:sz w:val="21"/>
                <w:szCs w:val="21"/>
              </w:rPr>
            </w:pPr>
            <w:r w:rsidRPr="00BA4BD0">
              <w:rPr>
                <w:b/>
                <w:bCs/>
                <w:color w:val="000000" w:themeColor="text1"/>
                <w:sz w:val="18"/>
                <w:szCs w:val="18"/>
              </w:rPr>
              <w:t xml:space="preserve">Stakeholder &amp; </w:t>
            </w:r>
            <w:r w:rsidR="00234D13" w:rsidRPr="00BA4BD0">
              <w:rPr>
                <w:b/>
                <w:bCs/>
                <w:color w:val="000000" w:themeColor="text1"/>
                <w:sz w:val="18"/>
                <w:szCs w:val="18"/>
              </w:rPr>
              <w:t>Leadership</w:t>
            </w: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0" w:type="dxa"/>
            </w:tcMar>
          </w:tcPr>
          <w:p w14:paraId="0A27BBA9" w14:textId="136A4BDB" w:rsidR="00B032B9" w:rsidRPr="00BA4BD0" w:rsidRDefault="00B032B9">
            <w:pPr>
              <w:rPr>
                <w:color w:val="000000" w:themeColor="text1"/>
                <w:sz w:val="21"/>
                <w:szCs w:val="21"/>
              </w:rPr>
            </w:pPr>
            <w:r w:rsidRPr="00BA4BD0">
              <w:rPr>
                <w:color w:val="000000" w:themeColor="text1"/>
                <w:sz w:val="18"/>
                <w:szCs w:val="18"/>
              </w:rPr>
              <w:t xml:space="preserve">Cross-Functional Leadership · </w:t>
            </w:r>
            <w:r w:rsidR="00234D13" w:rsidRPr="00BA4BD0">
              <w:rPr>
                <w:color w:val="000000" w:themeColor="text1"/>
                <w:sz w:val="18"/>
                <w:szCs w:val="18"/>
              </w:rPr>
              <w:t xml:space="preserve">Stakeholder management </w:t>
            </w:r>
            <w:r w:rsidRPr="00BA4BD0">
              <w:rPr>
                <w:color w:val="000000" w:themeColor="text1"/>
                <w:sz w:val="18"/>
                <w:szCs w:val="18"/>
              </w:rPr>
              <w:t xml:space="preserve">· </w:t>
            </w:r>
            <w:r w:rsidR="00234D13" w:rsidRPr="00BA4BD0">
              <w:rPr>
                <w:color w:val="000000" w:themeColor="text1"/>
                <w:sz w:val="18"/>
                <w:szCs w:val="18"/>
              </w:rPr>
              <w:t>Program Reviews</w:t>
            </w:r>
            <w:r w:rsidRPr="00BA4BD0">
              <w:rPr>
                <w:color w:val="000000" w:themeColor="text1"/>
                <w:sz w:val="18"/>
                <w:szCs w:val="18"/>
              </w:rPr>
              <w:t xml:space="preserve"> · </w:t>
            </w:r>
            <w:r w:rsidR="00234D13" w:rsidRPr="00BA4BD0">
              <w:rPr>
                <w:color w:val="000000" w:themeColor="text1"/>
                <w:sz w:val="18"/>
                <w:szCs w:val="18"/>
              </w:rPr>
              <w:t>Process improvement</w:t>
            </w:r>
            <w:r w:rsidRPr="00BA4BD0">
              <w:rPr>
                <w:color w:val="000000" w:themeColor="text1"/>
                <w:sz w:val="18"/>
                <w:szCs w:val="18"/>
              </w:rPr>
              <w:t xml:space="preserve"> ·</w:t>
            </w:r>
            <w:r w:rsidR="00347634" w:rsidRPr="00BA4BD0">
              <w:rPr>
                <w:color w:val="000000" w:themeColor="text1"/>
                <w:sz w:val="18"/>
                <w:szCs w:val="18"/>
              </w:rPr>
              <w:t xml:space="preserve"> Executive communication</w:t>
            </w:r>
          </w:p>
        </w:tc>
      </w:tr>
      <w:tr w:rsidR="00234D13" w:rsidRPr="0035314A" w14:paraId="0A27BBAD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0A27BBAB" w14:textId="12E20600" w:rsidR="00234D13" w:rsidRPr="00BA4BD0" w:rsidRDefault="00234D13">
            <w:pPr>
              <w:rPr>
                <w:color w:val="000000" w:themeColor="text1"/>
                <w:sz w:val="21"/>
                <w:szCs w:val="21"/>
              </w:rPr>
            </w:pPr>
            <w:r w:rsidRPr="00BA4BD0">
              <w:rPr>
                <w:b/>
                <w:bCs/>
                <w:color w:val="000000" w:themeColor="text1"/>
                <w:sz w:val="18"/>
                <w:szCs w:val="18"/>
              </w:rPr>
              <w:t>Tools</w:t>
            </w: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0" w:type="dxa"/>
            </w:tcMar>
          </w:tcPr>
          <w:p w14:paraId="0A27BBAC" w14:textId="567E6D51" w:rsidR="00234D13" w:rsidRPr="00BA4BD0" w:rsidRDefault="00234D13">
            <w:pPr>
              <w:rPr>
                <w:color w:val="000000" w:themeColor="text1"/>
                <w:sz w:val="21"/>
                <w:szCs w:val="21"/>
              </w:rPr>
            </w:pPr>
            <w:r w:rsidRPr="00BA4BD0">
              <w:rPr>
                <w:color w:val="000000" w:themeColor="text1"/>
                <w:sz w:val="18"/>
                <w:szCs w:val="18"/>
              </w:rPr>
              <w:t>JIRA · Confluence · Power BI · Tableau · Salesforce · SAP · Microsoft Dynamics · Microsoft Office</w:t>
            </w:r>
          </w:p>
        </w:tc>
      </w:tr>
      <w:tr w:rsidR="00234D13" w:rsidRPr="0035314A" w14:paraId="3516B888" w14:textId="77777777" w:rsidTr="00B032B9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1BDBD6E1" w14:textId="248574AF" w:rsidR="00234D13" w:rsidRPr="00BA4BD0" w:rsidRDefault="00234D13" w:rsidP="00B032B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A4BD0">
              <w:rPr>
                <w:b/>
                <w:bCs/>
                <w:color w:val="000000" w:themeColor="text1"/>
                <w:sz w:val="18"/>
                <w:szCs w:val="18"/>
              </w:rPr>
              <w:t>Languages</w:t>
            </w: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0" w:type="dxa"/>
            </w:tcMar>
          </w:tcPr>
          <w:p w14:paraId="5BCF26F7" w14:textId="7F42CC17" w:rsidR="00234D13" w:rsidRPr="00BA4BD0" w:rsidRDefault="00234D13" w:rsidP="00B032B9">
            <w:pPr>
              <w:rPr>
                <w:color w:val="000000" w:themeColor="text1"/>
                <w:sz w:val="18"/>
                <w:szCs w:val="18"/>
              </w:rPr>
            </w:pPr>
            <w:r w:rsidRPr="00BA4BD0">
              <w:rPr>
                <w:color w:val="000000" w:themeColor="text1"/>
                <w:sz w:val="18"/>
                <w:szCs w:val="18"/>
              </w:rPr>
              <w:t>English (Fluent) · Mandarin (Fluent)</w:t>
            </w:r>
          </w:p>
        </w:tc>
      </w:tr>
      <w:tr w:rsidR="00234D13" w:rsidRPr="0035314A" w14:paraId="1190D889" w14:textId="77777777" w:rsidTr="00B032B9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43B21B56" w14:textId="409C7E99" w:rsidR="00234D13" w:rsidRPr="0035314A" w:rsidRDefault="00234D13" w:rsidP="00B032B9">
            <w:pPr>
              <w:rPr>
                <w:b/>
                <w:bCs/>
                <w:color w:val="1B4F72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0" w:type="dxa"/>
            </w:tcMar>
          </w:tcPr>
          <w:p w14:paraId="22CF9B98" w14:textId="4EB1912B" w:rsidR="00234D13" w:rsidRPr="0035314A" w:rsidRDefault="00234D13" w:rsidP="00B032B9">
            <w:pPr>
              <w:rPr>
                <w:color w:val="111827"/>
                <w:sz w:val="18"/>
                <w:szCs w:val="18"/>
              </w:rPr>
            </w:pPr>
          </w:p>
        </w:tc>
      </w:tr>
    </w:tbl>
    <w:p w14:paraId="0A27BBAE" w14:textId="3D5E23D6" w:rsidR="00D55214" w:rsidRPr="00BA4BD0" w:rsidRDefault="00000000">
      <w:pPr>
        <w:spacing w:before="180" w:after="30"/>
        <w:rPr>
          <w:color w:val="000000" w:themeColor="text1"/>
          <w:sz w:val="21"/>
          <w:szCs w:val="21"/>
        </w:rPr>
      </w:pPr>
      <w:r w:rsidRPr="00BA4BD0">
        <w:rPr>
          <w:b/>
          <w:bCs/>
          <w:color w:val="000000" w:themeColor="text1"/>
          <w:spacing w:val="80"/>
          <w:sz w:val="21"/>
          <w:szCs w:val="21"/>
        </w:rPr>
        <w:t>EDUCATION</w:t>
      </w:r>
    </w:p>
    <w:p w14:paraId="0A27BBAF" w14:textId="77777777" w:rsidR="00D55214" w:rsidRPr="0035314A" w:rsidRDefault="00D55214">
      <w:pPr>
        <w:pBdr>
          <w:bottom w:val="single" w:sz="8" w:space="1" w:color="1B4F72"/>
        </w:pBdr>
        <w:spacing w:before="50" w:after="90"/>
        <w:rPr>
          <w:sz w:val="21"/>
          <w:szCs w:val="21"/>
        </w:rPr>
      </w:pPr>
    </w:p>
    <w:p w14:paraId="0A27BBB0" w14:textId="74921FEB" w:rsidR="00D55214" w:rsidRPr="009B5849" w:rsidRDefault="00000000">
      <w:pPr>
        <w:spacing w:before="20" w:after="28"/>
        <w:rPr>
          <w:color w:val="000000" w:themeColor="text1"/>
          <w:sz w:val="21"/>
          <w:szCs w:val="21"/>
        </w:rPr>
      </w:pPr>
      <w:r w:rsidRPr="009B5849">
        <w:rPr>
          <w:b/>
          <w:bCs/>
          <w:color w:val="000000" w:themeColor="text1"/>
        </w:rPr>
        <w:t>Bachelor of Commerce (</w:t>
      </w:r>
      <w:r w:rsidR="00BA4BD0" w:rsidRPr="009B5849">
        <w:rPr>
          <w:b/>
          <w:bCs/>
          <w:color w:val="000000" w:themeColor="text1"/>
        </w:rPr>
        <w:t>Honors)</w:t>
      </w:r>
      <w:r w:rsidR="00BA4BD0" w:rsidRPr="009B5849">
        <w:rPr>
          <w:color w:val="000000" w:themeColor="text1"/>
        </w:rPr>
        <w:t xml:space="preserve"> · University</w:t>
      </w:r>
      <w:r w:rsidRPr="009B5849">
        <w:rPr>
          <w:color w:val="000000" w:themeColor="text1"/>
        </w:rPr>
        <w:t xml:space="preserve"> of Guelph</w:t>
      </w:r>
    </w:p>
    <w:p w14:paraId="0A27BBB1" w14:textId="2FF1DEF4" w:rsidR="00D55214" w:rsidRPr="009B5849" w:rsidRDefault="00000000">
      <w:pPr>
        <w:spacing w:after="28"/>
        <w:rPr>
          <w:color w:val="000000" w:themeColor="text1"/>
          <w:sz w:val="21"/>
          <w:szCs w:val="21"/>
        </w:rPr>
      </w:pPr>
      <w:r w:rsidRPr="009B5849">
        <w:rPr>
          <w:b/>
          <w:bCs/>
          <w:color w:val="000000" w:themeColor="text1"/>
        </w:rPr>
        <w:t xml:space="preserve">eBusiness &amp; eCommerce </w:t>
      </w:r>
      <w:r w:rsidR="00BA4BD0" w:rsidRPr="009B5849">
        <w:rPr>
          <w:b/>
          <w:bCs/>
          <w:color w:val="000000" w:themeColor="text1"/>
        </w:rPr>
        <w:t>Management</w:t>
      </w:r>
      <w:r w:rsidR="00BA4BD0" w:rsidRPr="009B5849">
        <w:rPr>
          <w:color w:val="000000" w:themeColor="text1"/>
        </w:rPr>
        <w:t xml:space="preserve"> · University</w:t>
      </w:r>
      <w:r w:rsidRPr="009B5849">
        <w:rPr>
          <w:color w:val="000000" w:themeColor="text1"/>
        </w:rPr>
        <w:t xml:space="preserve"> of Toronto</w:t>
      </w:r>
    </w:p>
    <w:sectPr w:rsidR="00D55214" w:rsidRPr="009B5849">
      <w:pgSz w:w="12240" w:h="15840"/>
      <w:pgMar w:top="820" w:right="980" w:bottom="820" w:left="9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0D78"/>
    <w:multiLevelType w:val="hybridMultilevel"/>
    <w:tmpl w:val="F1C846AA"/>
    <w:lvl w:ilvl="0" w:tplc="40A6A3C4">
      <w:start w:val="1"/>
      <w:numFmt w:val="bullet"/>
      <w:lvlText w:val="•"/>
      <w:lvlJc w:val="left"/>
      <w:pPr>
        <w:ind w:left="340" w:hanging="200"/>
      </w:pPr>
    </w:lvl>
    <w:lvl w:ilvl="1" w:tplc="409022BA">
      <w:numFmt w:val="decimal"/>
      <w:lvlText w:val=""/>
      <w:lvlJc w:val="left"/>
    </w:lvl>
    <w:lvl w:ilvl="2" w:tplc="AB7ADE3E">
      <w:numFmt w:val="decimal"/>
      <w:lvlText w:val=""/>
      <w:lvlJc w:val="left"/>
    </w:lvl>
    <w:lvl w:ilvl="3" w:tplc="A6020D5E">
      <w:numFmt w:val="decimal"/>
      <w:lvlText w:val=""/>
      <w:lvlJc w:val="left"/>
    </w:lvl>
    <w:lvl w:ilvl="4" w:tplc="36EECBDA">
      <w:numFmt w:val="decimal"/>
      <w:lvlText w:val=""/>
      <w:lvlJc w:val="left"/>
    </w:lvl>
    <w:lvl w:ilvl="5" w:tplc="F8208278">
      <w:numFmt w:val="decimal"/>
      <w:lvlText w:val=""/>
      <w:lvlJc w:val="left"/>
    </w:lvl>
    <w:lvl w:ilvl="6" w:tplc="CAFEE5C0">
      <w:numFmt w:val="decimal"/>
      <w:lvlText w:val=""/>
      <w:lvlJc w:val="left"/>
    </w:lvl>
    <w:lvl w:ilvl="7" w:tplc="B644CFC8">
      <w:numFmt w:val="decimal"/>
      <w:lvlText w:val=""/>
      <w:lvlJc w:val="left"/>
    </w:lvl>
    <w:lvl w:ilvl="8" w:tplc="CCC2CA82">
      <w:numFmt w:val="decimal"/>
      <w:lvlText w:val=""/>
      <w:lvlJc w:val="left"/>
    </w:lvl>
  </w:abstractNum>
  <w:abstractNum w:abstractNumId="1" w15:restartNumberingAfterBreak="0">
    <w:nsid w:val="314F5EC4"/>
    <w:multiLevelType w:val="hybridMultilevel"/>
    <w:tmpl w:val="38BAAD8E"/>
    <w:lvl w:ilvl="0" w:tplc="C50CE35C">
      <w:start w:val="1"/>
      <w:numFmt w:val="bullet"/>
      <w:lvlText w:val="●"/>
      <w:lvlJc w:val="left"/>
      <w:pPr>
        <w:ind w:left="720" w:hanging="360"/>
      </w:pPr>
    </w:lvl>
    <w:lvl w:ilvl="1" w:tplc="BBFEA262">
      <w:start w:val="1"/>
      <w:numFmt w:val="bullet"/>
      <w:lvlText w:val="○"/>
      <w:lvlJc w:val="left"/>
      <w:pPr>
        <w:ind w:left="1440" w:hanging="360"/>
      </w:pPr>
    </w:lvl>
    <w:lvl w:ilvl="2" w:tplc="01BA77A8">
      <w:start w:val="1"/>
      <w:numFmt w:val="bullet"/>
      <w:lvlText w:val="■"/>
      <w:lvlJc w:val="left"/>
      <w:pPr>
        <w:ind w:left="2160" w:hanging="360"/>
      </w:pPr>
    </w:lvl>
    <w:lvl w:ilvl="3" w:tplc="C3AAD9FA">
      <w:start w:val="1"/>
      <w:numFmt w:val="bullet"/>
      <w:lvlText w:val="●"/>
      <w:lvlJc w:val="left"/>
      <w:pPr>
        <w:ind w:left="2880" w:hanging="360"/>
      </w:pPr>
    </w:lvl>
    <w:lvl w:ilvl="4" w:tplc="E0607F24">
      <w:start w:val="1"/>
      <w:numFmt w:val="bullet"/>
      <w:lvlText w:val="○"/>
      <w:lvlJc w:val="left"/>
      <w:pPr>
        <w:ind w:left="3600" w:hanging="360"/>
      </w:pPr>
    </w:lvl>
    <w:lvl w:ilvl="5" w:tplc="E9424F08">
      <w:start w:val="1"/>
      <w:numFmt w:val="bullet"/>
      <w:lvlText w:val="■"/>
      <w:lvlJc w:val="left"/>
      <w:pPr>
        <w:ind w:left="4320" w:hanging="360"/>
      </w:pPr>
    </w:lvl>
    <w:lvl w:ilvl="6" w:tplc="41524016">
      <w:start w:val="1"/>
      <w:numFmt w:val="bullet"/>
      <w:lvlText w:val="●"/>
      <w:lvlJc w:val="left"/>
      <w:pPr>
        <w:ind w:left="5040" w:hanging="360"/>
      </w:pPr>
    </w:lvl>
    <w:lvl w:ilvl="7" w:tplc="E5F236D2">
      <w:start w:val="1"/>
      <w:numFmt w:val="bullet"/>
      <w:lvlText w:val="●"/>
      <w:lvlJc w:val="left"/>
      <w:pPr>
        <w:ind w:left="5760" w:hanging="360"/>
      </w:pPr>
    </w:lvl>
    <w:lvl w:ilvl="8" w:tplc="7C5C694E">
      <w:start w:val="1"/>
      <w:numFmt w:val="bullet"/>
      <w:lvlText w:val="●"/>
      <w:lvlJc w:val="left"/>
      <w:pPr>
        <w:ind w:left="6480" w:hanging="360"/>
      </w:pPr>
    </w:lvl>
  </w:abstractNum>
  <w:num w:numId="1" w16cid:durableId="2144304568">
    <w:abstractNumId w:val="1"/>
    <w:lvlOverride w:ilvl="0">
      <w:startOverride w:val="1"/>
    </w:lvlOverride>
  </w:num>
  <w:num w:numId="2" w16cid:durableId="13522216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14"/>
    <w:rsid w:val="0001272E"/>
    <w:rsid w:val="00063343"/>
    <w:rsid w:val="000B11D1"/>
    <w:rsid w:val="000F7258"/>
    <w:rsid w:val="00140FF8"/>
    <w:rsid w:val="001423EE"/>
    <w:rsid w:val="00190007"/>
    <w:rsid w:val="001A2878"/>
    <w:rsid w:val="001D0653"/>
    <w:rsid w:val="002142F8"/>
    <w:rsid w:val="00234D13"/>
    <w:rsid w:val="00234EA6"/>
    <w:rsid w:val="0028003D"/>
    <w:rsid w:val="00286BDE"/>
    <w:rsid w:val="00291559"/>
    <w:rsid w:val="002A16E6"/>
    <w:rsid w:val="002C3C9D"/>
    <w:rsid w:val="00314E46"/>
    <w:rsid w:val="00347634"/>
    <w:rsid w:val="0035314A"/>
    <w:rsid w:val="0039080A"/>
    <w:rsid w:val="003F1E0C"/>
    <w:rsid w:val="00420FD4"/>
    <w:rsid w:val="00443BF3"/>
    <w:rsid w:val="00532C2B"/>
    <w:rsid w:val="005630EF"/>
    <w:rsid w:val="00563DB6"/>
    <w:rsid w:val="00574F52"/>
    <w:rsid w:val="005A3CAC"/>
    <w:rsid w:val="005B7944"/>
    <w:rsid w:val="005E5082"/>
    <w:rsid w:val="00667AFF"/>
    <w:rsid w:val="0067317B"/>
    <w:rsid w:val="0072462F"/>
    <w:rsid w:val="00734249"/>
    <w:rsid w:val="007749F5"/>
    <w:rsid w:val="007D53C8"/>
    <w:rsid w:val="007E1F4D"/>
    <w:rsid w:val="007E4819"/>
    <w:rsid w:val="007F4812"/>
    <w:rsid w:val="00873FCE"/>
    <w:rsid w:val="00877AD5"/>
    <w:rsid w:val="008A3956"/>
    <w:rsid w:val="008D59DD"/>
    <w:rsid w:val="008F2500"/>
    <w:rsid w:val="00913EC6"/>
    <w:rsid w:val="0094394F"/>
    <w:rsid w:val="009B5849"/>
    <w:rsid w:val="009D788B"/>
    <w:rsid w:val="009E5CEB"/>
    <w:rsid w:val="009F667F"/>
    <w:rsid w:val="00AE54CD"/>
    <w:rsid w:val="00B032B9"/>
    <w:rsid w:val="00B44649"/>
    <w:rsid w:val="00B60E74"/>
    <w:rsid w:val="00B63DFB"/>
    <w:rsid w:val="00BA4BD0"/>
    <w:rsid w:val="00C36B90"/>
    <w:rsid w:val="00C447A3"/>
    <w:rsid w:val="00C73788"/>
    <w:rsid w:val="00C9764C"/>
    <w:rsid w:val="00CA0119"/>
    <w:rsid w:val="00CA5787"/>
    <w:rsid w:val="00CD2D85"/>
    <w:rsid w:val="00D55214"/>
    <w:rsid w:val="00DC7C46"/>
    <w:rsid w:val="00E21E6C"/>
    <w:rsid w:val="00E27E6C"/>
    <w:rsid w:val="00E52256"/>
    <w:rsid w:val="00E5613F"/>
    <w:rsid w:val="00EC3C90"/>
    <w:rsid w:val="00ED2A3C"/>
    <w:rsid w:val="00ED35F1"/>
    <w:rsid w:val="00EE3179"/>
    <w:rsid w:val="00F11FF9"/>
    <w:rsid w:val="00F621A4"/>
    <w:rsid w:val="00F70E36"/>
    <w:rsid w:val="00FA1A13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BB79"/>
  <w15:docId w15:val="{954FCAC2-2FE3-4152-83F2-A40EF707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Default">
    <w:name w:val="Default"/>
    <w:rsid w:val="00063343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7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740</Words>
  <Characters>4804</Characters>
  <Application>Microsoft Office Word</Application>
  <DocSecurity>0</DocSecurity>
  <Lines>90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Steve Lee</cp:lastModifiedBy>
  <cp:revision>4</cp:revision>
  <cp:lastPrinted>2026-04-04T04:11:00Z</cp:lastPrinted>
  <dcterms:created xsi:type="dcterms:W3CDTF">2026-04-12T07:57:00Z</dcterms:created>
  <dcterms:modified xsi:type="dcterms:W3CDTF">2026-04-12T15:53:00Z</dcterms:modified>
</cp:coreProperties>
</file>